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overflowPunct/>
        <w:topLinePunct w:val="0"/>
        <w:autoSpaceDE w:val="0"/>
        <w:autoSpaceDN/>
        <w:bidi w:val="0"/>
        <w:snapToGrid/>
        <w:spacing w:before="0" w:beforeAutospacing="0" w:after="0" w:afterAutospacing="0" w:line="580" w:lineRule="exact"/>
        <w:ind w:left="0" w:right="0"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
        </w:rPr>
      </w:pPr>
      <w:bookmarkStart w:id="1" w:name="_GoBack"/>
      <w:bookmarkEnd w:id="1"/>
      <w:r>
        <w:rPr>
          <w:rFonts w:hint="eastAsia" w:ascii="方正小标宋简体" w:hAnsi="方正小标宋简体" w:eastAsia="方正小标宋简体" w:cs="方正小标宋简体"/>
          <w:kern w:val="2"/>
          <w:sz w:val="44"/>
          <w:szCs w:val="44"/>
          <w:lang w:val="en-US" w:eastAsia="zh-CN" w:bidi="ar"/>
        </w:rPr>
        <w:t>海南省通信网络建设要素保障</w:t>
      </w:r>
    </w:p>
    <w:p>
      <w:pPr>
        <w:keepNext w:val="0"/>
        <w:keepLines w:val="0"/>
        <w:pageBreakBefore w:val="0"/>
        <w:widowControl w:val="0"/>
        <w:suppressLineNumbers w:val="0"/>
        <w:kinsoku/>
        <w:overflowPunct/>
        <w:topLinePunct w:val="0"/>
        <w:autoSpaceDE w:val="0"/>
        <w:autoSpaceDN/>
        <w:bidi w:val="0"/>
        <w:snapToGrid/>
        <w:spacing w:before="0" w:beforeAutospacing="0" w:after="0" w:afterAutospacing="0" w:line="580" w:lineRule="exact"/>
        <w:ind w:left="0" w:right="0" w:firstLine="0" w:firstLineChars="0"/>
        <w:jc w:val="center"/>
        <w:textAlignment w:val="auto"/>
        <w:rPr>
          <w:rFonts w:hint="eastAsia" w:ascii="楷体_GB2312" w:hAnsi="楷体_GB2312" w:eastAsia="楷体_GB2312" w:cs="楷体_GB2312"/>
          <w:kern w:val="2"/>
          <w:sz w:val="32"/>
          <w:szCs w:val="32"/>
          <w:lang w:val="en-US" w:eastAsia="zh-CN" w:bidi="ar"/>
        </w:rPr>
      </w:pPr>
      <w:r>
        <w:rPr>
          <w:rFonts w:hint="eastAsia" w:ascii="方正小标宋简体" w:hAnsi="方正小标宋简体" w:eastAsia="方正小标宋简体" w:cs="方正小标宋简体"/>
          <w:kern w:val="2"/>
          <w:sz w:val="44"/>
          <w:szCs w:val="44"/>
          <w:lang w:val="en-US" w:eastAsia="zh-CN" w:bidi="ar"/>
        </w:rPr>
        <w:t>“一件事”实施方案</w:t>
      </w:r>
    </w:p>
    <w:p>
      <w:pPr>
        <w:keepNext w:val="0"/>
        <w:keepLines w:val="0"/>
        <w:pageBreakBefore w:val="0"/>
        <w:widowControl w:val="0"/>
        <w:suppressLineNumbers w:val="0"/>
        <w:kinsoku/>
        <w:overflowPunct/>
        <w:topLinePunct w:val="0"/>
        <w:autoSpaceDE w:val="0"/>
        <w:autoSpaceDN/>
        <w:bidi w:val="0"/>
        <w:snapToGrid/>
        <w:spacing w:before="0" w:beforeAutospacing="0" w:after="0" w:afterAutospacing="0" w:line="580" w:lineRule="exact"/>
        <w:ind w:left="0" w:right="0" w:firstLine="0" w:firstLineChars="0"/>
        <w:jc w:val="center"/>
        <w:textAlignment w:val="auto"/>
        <w:rPr>
          <w:rFonts w:hint="eastAsia" w:ascii="楷体_GB2312" w:hAnsi="Times New Roman" w:eastAsia="楷体_GB2312" w:cs="楷体_GB2312"/>
          <w:kern w:val="2"/>
          <w:sz w:val="32"/>
          <w:szCs w:val="32"/>
          <w:lang w:val="en-US" w:eastAsia="zh-CN" w:bidi="ar"/>
        </w:rPr>
      </w:pP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napToGrid w:val="0"/>
          <w:color w:val="000000"/>
          <w:sz w:val="32"/>
          <w:szCs w:val="32"/>
          <w:highlight w:val="none"/>
          <w:shd w:val="clear" w:color="auto" w:fill="FFFFFF"/>
        </w:rPr>
        <w:t>为深入贯彻落实《国务院关于进一步优化政务服务提升行政效能推动“高效办成一件事”的指导意见》（国发〔2024〕3号）精神和省委省政府的决策部署</w:t>
      </w:r>
      <w:r>
        <w:rPr>
          <w:rFonts w:hint="eastAsia" w:ascii="仿宋_GB2312" w:hAnsi="仿宋_GB2312" w:eastAsia="仿宋_GB2312" w:cs="仿宋_GB2312"/>
          <w:sz w:val="32"/>
          <w:szCs w:val="32"/>
          <w:highlight w:val="none"/>
        </w:rPr>
        <w:t>，有效破解我省通信网络建设中存在的选址难、审批流程复杂、审批时限长等突出问题，</w:t>
      </w:r>
      <w:r>
        <w:rPr>
          <w:rFonts w:hint="eastAsia" w:ascii="仿宋_GB2312" w:hAnsi="仿宋_GB2312" w:eastAsia="仿宋_GB2312" w:cs="仿宋_GB2312"/>
          <w:sz w:val="32"/>
          <w:szCs w:val="32"/>
          <w:highlight w:val="none"/>
          <w:lang w:val="en-US" w:eastAsia="zh-CN"/>
        </w:rPr>
        <w:t>提升</w:t>
      </w:r>
      <w:r>
        <w:rPr>
          <w:rFonts w:hint="eastAsia" w:ascii="仿宋_GB2312" w:hAnsi="仿宋_GB2312" w:eastAsia="仿宋_GB2312" w:cs="仿宋_GB2312"/>
          <w:sz w:val="32"/>
          <w:szCs w:val="32"/>
          <w:highlight w:val="none"/>
        </w:rPr>
        <w:t>全省通信网络建设</w:t>
      </w:r>
      <w:r>
        <w:rPr>
          <w:rFonts w:hint="eastAsia" w:ascii="仿宋_GB2312" w:hAnsi="仿宋_GB2312" w:eastAsia="仿宋_GB2312" w:cs="仿宋_GB2312"/>
          <w:sz w:val="32"/>
          <w:szCs w:val="32"/>
          <w:highlight w:val="none"/>
          <w:lang w:val="en-US" w:eastAsia="zh-CN"/>
        </w:rPr>
        <w:t>服务效能</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助力</w:t>
      </w:r>
      <w:r>
        <w:rPr>
          <w:rFonts w:hint="eastAsia" w:ascii="仿宋_GB2312" w:hAnsi="仿宋_GB2312" w:eastAsia="仿宋_GB2312" w:cs="仿宋_GB2312"/>
          <w:sz w:val="32"/>
          <w:szCs w:val="32"/>
          <w:highlight w:val="none"/>
        </w:rPr>
        <w:t>海南自由贸易港高质量发展，制</w:t>
      </w:r>
      <w:r>
        <w:rPr>
          <w:rFonts w:hint="eastAsia" w:ascii="仿宋_GB2312" w:hAnsi="仿宋_GB2312" w:eastAsia="仿宋_GB2312" w:cs="仿宋_GB2312"/>
          <w:sz w:val="32"/>
          <w:szCs w:val="32"/>
          <w:highlight w:val="none"/>
          <w:lang w:val="en-US" w:eastAsia="zh-CN"/>
        </w:rPr>
        <w:t>定</w:t>
      </w:r>
      <w:r>
        <w:rPr>
          <w:rFonts w:hint="eastAsia" w:ascii="仿宋_GB2312" w:hAnsi="仿宋_GB2312" w:eastAsia="仿宋_GB2312" w:cs="仿宋_GB2312"/>
          <w:sz w:val="32"/>
          <w:szCs w:val="32"/>
          <w:highlight w:val="none"/>
        </w:rPr>
        <w:t>本方案。</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一、改革目标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sz w:val="32"/>
          <w:szCs w:val="32"/>
          <w:shd w:val="clear" w:color="auto" w:fill="FFFFFF"/>
        </w:rPr>
        <w:t>坚持以习近平新时代中国特色社会主义思想为指导，全面贯彻党的二十大精神，</w:t>
      </w:r>
      <w:r>
        <w:rPr>
          <w:rFonts w:hint="eastAsia" w:ascii="仿宋_GB2312" w:hAnsi="仿宋_GB2312" w:eastAsia="仿宋_GB2312" w:cs="仿宋_GB2312"/>
          <w:snapToGrid w:val="0"/>
          <w:color w:val="000000"/>
          <w:sz w:val="32"/>
          <w:szCs w:val="32"/>
          <w:shd w:val="clear" w:color="auto" w:fill="FFFFFF"/>
          <w:lang w:val="en-US" w:eastAsia="zh-CN"/>
        </w:rPr>
        <w:t>充分发挥“海易办”总门户枢纽作用，以“高效办成一件事”为牵引，围绕通信网络建设实际需求，通过业务流程再造、申报条件简化、系统互联互通和数据信息共享等方式，将不同部门业务场景聚合提供集成服务，推进多个事项“并联审批”、多个部门“联合</w:t>
      </w:r>
      <w:r>
        <w:rPr>
          <w:rFonts w:hint="eastAsia" w:ascii="仿宋_GB2312" w:hAnsi="仿宋_GB2312" w:eastAsia="仿宋_GB2312" w:cs="仿宋_GB2312"/>
          <w:b w:val="0"/>
          <w:bCs w:val="0"/>
          <w:snapToGrid w:val="0"/>
          <w:color w:val="000000"/>
          <w:sz w:val="32"/>
          <w:szCs w:val="32"/>
          <w:shd w:val="clear" w:color="auto" w:fill="FFFFFF"/>
          <w:lang w:val="en-US" w:eastAsia="zh-CN"/>
        </w:rPr>
        <w:t>核查</w:t>
      </w:r>
      <w:r>
        <w:rPr>
          <w:rFonts w:hint="eastAsia" w:ascii="仿宋_GB2312" w:hAnsi="仿宋_GB2312" w:eastAsia="仿宋_GB2312" w:cs="仿宋_GB2312"/>
          <w:snapToGrid w:val="0"/>
          <w:color w:val="000000"/>
          <w:sz w:val="32"/>
          <w:szCs w:val="32"/>
          <w:shd w:val="clear" w:color="auto" w:fill="FFFFFF"/>
          <w:lang w:val="en-US" w:eastAsia="zh-CN"/>
        </w:rPr>
        <w:t>”，</w:t>
      </w:r>
      <w:r>
        <w:rPr>
          <w:rFonts w:hint="eastAsia" w:ascii="仿宋_GB2312" w:hAnsi="仿宋_GB2312" w:eastAsia="仿宋_GB2312" w:cs="仿宋_GB2312"/>
          <w:color w:val="000000"/>
          <w:kern w:val="2"/>
          <w:sz w:val="32"/>
          <w:szCs w:val="32"/>
          <w:shd w:val="clear" w:color="auto" w:fill="FFFFFF"/>
          <w:lang w:val="en-US" w:eastAsia="zh-CN" w:bidi="ar"/>
        </w:rPr>
        <w:t>不断</w:t>
      </w:r>
      <w:r>
        <w:rPr>
          <w:rFonts w:hint="eastAsia" w:ascii="仿宋_GB2312" w:hAnsi="仿宋_GB2312" w:eastAsia="仿宋_GB2312" w:cs="仿宋_GB2312"/>
          <w:i w:val="0"/>
          <w:caps w:val="0"/>
          <w:color w:val="000000"/>
          <w:spacing w:val="0"/>
          <w:kern w:val="2"/>
          <w:sz w:val="32"/>
          <w:szCs w:val="32"/>
          <w:lang w:val="en-US" w:eastAsia="zh-CN" w:bidi="ar"/>
        </w:rPr>
        <w:t>提升审批服务质量</w:t>
      </w:r>
      <w:r>
        <w:rPr>
          <w:rFonts w:hint="eastAsia" w:ascii="仿宋_GB2312" w:hAnsi="仿宋_GB2312" w:eastAsia="仿宋_GB2312" w:cs="仿宋_GB2312"/>
          <w:i w:val="0"/>
          <w:caps w:val="0"/>
          <w:color w:val="000000"/>
          <w:spacing w:val="0"/>
          <w:kern w:val="2"/>
          <w:sz w:val="32"/>
          <w:szCs w:val="32"/>
          <w:shd w:val="clear" w:color="auto" w:fill="FFFFFF"/>
          <w:lang w:val="en-US" w:eastAsia="zh-CN" w:bidi="ar"/>
        </w:rPr>
        <w:t>，</w:t>
      </w:r>
      <w:r>
        <w:rPr>
          <w:rFonts w:hint="eastAsia" w:ascii="仿宋_GB2312" w:hAnsi="仿宋_GB2312" w:eastAsia="仿宋_GB2312" w:cs="仿宋_GB2312"/>
          <w:i w:val="0"/>
          <w:caps w:val="0"/>
          <w:color w:val="000000"/>
          <w:spacing w:val="0"/>
          <w:kern w:val="2"/>
          <w:sz w:val="32"/>
          <w:szCs w:val="32"/>
          <w:lang w:val="en-US" w:eastAsia="zh-CN" w:bidi="ar"/>
        </w:rPr>
        <w:t>提高办事效率，提升申请人的满意度和获得感</w:t>
      </w:r>
      <w:r>
        <w:rPr>
          <w:rFonts w:hint="eastAsia" w:ascii="仿宋_GB2312" w:hAnsi="仿宋_GB2312" w:eastAsia="仿宋_GB2312" w:cs="仿宋_GB2312"/>
          <w:kern w:val="2"/>
          <w:sz w:val="32"/>
          <w:szCs w:val="32"/>
          <w:lang w:val="en-US" w:eastAsia="zh-CN" w:bidi="ar"/>
        </w:rPr>
        <w:t xml:space="preserve"> 。</w:t>
      </w:r>
    </w:p>
    <w:p>
      <w:pPr>
        <w:pageBreakBefore w:val="0"/>
        <w:kinsoku/>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snapToGrid w:val="0"/>
          <w:color w:val="000000"/>
          <w:sz w:val="32"/>
          <w:szCs w:val="32"/>
          <w:shd w:val="clear" w:color="auto" w:fill="FFFFFF"/>
        </w:rPr>
      </w:pPr>
      <w:r>
        <w:rPr>
          <w:rFonts w:hint="eastAsia" w:ascii="黑体" w:hAnsi="黑体" w:eastAsia="黑体" w:cs="黑体"/>
          <w:snapToGrid w:val="0"/>
          <w:color w:val="000000"/>
          <w:sz w:val="32"/>
          <w:szCs w:val="32"/>
          <w:shd w:val="clear" w:color="auto" w:fill="FFFFFF"/>
        </w:rPr>
        <w:t>二、服务对象和内容</w:t>
      </w:r>
    </w:p>
    <w:p>
      <w:pPr>
        <w:pageBreakBefore w:val="0"/>
        <w:kinsoku/>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snapToGrid w:val="0"/>
          <w:color w:val="000000"/>
          <w:sz w:val="32"/>
          <w:szCs w:val="32"/>
          <w:shd w:val="clear" w:color="auto" w:fill="FFFFFF"/>
        </w:rPr>
      </w:pPr>
      <w:r>
        <w:rPr>
          <w:rFonts w:hint="eastAsia" w:ascii="仿宋_GB2312" w:hAnsi="仿宋_GB2312" w:eastAsia="仿宋_GB2312" w:cs="仿宋_GB2312"/>
          <w:snapToGrid w:val="0"/>
          <w:color w:val="000000"/>
          <w:sz w:val="32"/>
          <w:szCs w:val="32"/>
          <w:shd w:val="clear" w:color="auto" w:fill="FFFFFF"/>
        </w:rPr>
        <w:t>本方案适用于各基础电信企业、铁塔公司（含民营铁塔）、通信施工单位等</w:t>
      </w:r>
      <w:r>
        <w:rPr>
          <w:rFonts w:hint="eastAsia" w:ascii="仿宋_GB2312" w:hAnsi="仿宋_GB2312" w:eastAsia="仿宋_GB2312" w:cs="仿宋_GB2312"/>
          <w:snapToGrid w:val="0"/>
          <w:color w:val="000000"/>
          <w:sz w:val="32"/>
          <w:szCs w:val="32"/>
          <w:shd w:val="clear" w:color="auto" w:fill="FFFFFF"/>
          <w:lang w:val="en-US" w:eastAsia="zh-CN"/>
        </w:rPr>
        <w:t>经营</w:t>
      </w:r>
      <w:r>
        <w:rPr>
          <w:rFonts w:hint="eastAsia" w:ascii="仿宋_GB2312" w:hAnsi="仿宋_GB2312" w:eastAsia="仿宋_GB2312" w:cs="仿宋_GB2312"/>
          <w:snapToGrid w:val="0"/>
          <w:color w:val="000000"/>
          <w:sz w:val="32"/>
          <w:szCs w:val="32"/>
          <w:shd w:val="clear" w:color="auto" w:fill="FFFFFF"/>
        </w:rPr>
        <w:t>主体建设通信基础设施（含杆塔、机房、管道、杆路、光缆、电力等）报建审批服务。</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三、责任分工</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eastAsia" w:ascii="仿宋_GB2312" w:hAnsi="仿宋_GB2312" w:eastAsia="仿宋_GB2312" w:cs="仿宋_GB2312"/>
          <w:snapToGrid w:val="0"/>
          <w:color w:val="000000"/>
          <w:sz w:val="32"/>
          <w:szCs w:val="32"/>
          <w:highlight w:val="none"/>
          <w:shd w:val="clear" w:color="auto" w:fill="FFFFFF"/>
          <w:lang w:eastAsia="zh-CN"/>
        </w:rPr>
      </w:pPr>
      <w:r>
        <w:rPr>
          <w:rFonts w:hint="eastAsia" w:ascii="仿宋_GB2312" w:hAnsi="仿宋_GB2312" w:eastAsia="仿宋_GB2312" w:cs="仿宋_GB2312"/>
          <w:snapToGrid w:val="0"/>
          <w:color w:val="000000"/>
          <w:sz w:val="32"/>
          <w:szCs w:val="32"/>
          <w:highlight w:val="none"/>
          <w:shd w:val="clear" w:color="auto" w:fill="FFFFFF"/>
          <w:lang w:eastAsia="zh-CN"/>
        </w:rPr>
        <w:t>省通信管理局、省营商环境建设厅、省工业和信息化厅共同牵头推进</w:t>
      </w:r>
      <w:bookmarkStart w:id="0" w:name="OLE_LINK1"/>
      <w:r>
        <w:rPr>
          <w:rFonts w:hint="eastAsia" w:ascii="仿宋_GB2312" w:hAnsi="仿宋_GB2312" w:eastAsia="仿宋_GB2312" w:cs="仿宋_GB2312"/>
          <w:snapToGrid w:val="0"/>
          <w:color w:val="000000"/>
          <w:sz w:val="32"/>
          <w:szCs w:val="32"/>
          <w:highlight w:val="none"/>
          <w:shd w:val="clear" w:color="auto" w:fill="FFFFFF"/>
        </w:rPr>
        <w:t>通信网络建设要素保障“一件事”</w:t>
      </w:r>
      <w:bookmarkEnd w:id="0"/>
      <w:r>
        <w:rPr>
          <w:rFonts w:hint="eastAsia" w:ascii="仿宋_GB2312" w:hAnsi="仿宋_GB2312" w:eastAsia="仿宋_GB2312" w:cs="仿宋_GB2312"/>
          <w:snapToGrid w:val="0"/>
          <w:color w:val="000000"/>
          <w:sz w:val="32"/>
          <w:szCs w:val="32"/>
          <w:highlight w:val="none"/>
          <w:shd w:val="clear" w:color="auto" w:fill="FFFFFF"/>
          <w:lang w:eastAsia="zh-CN"/>
        </w:rPr>
        <w:t>（以下简称“一件事”）</w:t>
      </w:r>
      <w:r>
        <w:rPr>
          <w:rFonts w:hint="eastAsia" w:ascii="仿宋_GB2312" w:hAnsi="仿宋_GB2312" w:eastAsia="仿宋_GB2312" w:cs="仿宋_GB2312"/>
          <w:b w:val="0"/>
          <w:bCs w:val="0"/>
          <w:snapToGrid w:val="0"/>
          <w:color w:val="000000"/>
          <w:sz w:val="32"/>
          <w:szCs w:val="32"/>
          <w:highlight w:val="none"/>
          <w:shd w:val="clear" w:color="auto" w:fill="FFFFFF"/>
          <w:lang w:eastAsia="zh-CN"/>
        </w:rPr>
        <w:t>改革落地实施，</w:t>
      </w:r>
      <w:r>
        <w:rPr>
          <w:rFonts w:hint="eastAsia" w:ascii="仿宋_GB2312" w:hAnsi="仿宋_GB2312" w:eastAsia="仿宋_GB2312" w:cs="仿宋_GB2312"/>
          <w:snapToGrid w:val="0"/>
          <w:color w:val="000000"/>
          <w:sz w:val="32"/>
          <w:szCs w:val="32"/>
          <w:highlight w:val="none"/>
          <w:shd w:val="clear" w:color="auto" w:fill="FFFFFF"/>
        </w:rPr>
        <w:t>其他</w:t>
      </w:r>
      <w:r>
        <w:rPr>
          <w:rFonts w:hint="eastAsia" w:ascii="仿宋_GB2312" w:hAnsi="仿宋_GB2312" w:eastAsia="仿宋_GB2312" w:cs="仿宋_GB2312"/>
          <w:snapToGrid w:val="0"/>
          <w:color w:val="000000"/>
          <w:sz w:val="32"/>
          <w:szCs w:val="32"/>
          <w:highlight w:val="none"/>
          <w:shd w:val="clear" w:color="auto" w:fill="FFFFFF"/>
          <w:lang w:val="en-US" w:eastAsia="zh-CN"/>
        </w:rPr>
        <w:t>省直</w:t>
      </w:r>
      <w:r>
        <w:rPr>
          <w:rFonts w:hint="eastAsia" w:ascii="仿宋_GB2312" w:hAnsi="仿宋_GB2312" w:eastAsia="仿宋_GB2312" w:cs="仿宋_GB2312"/>
          <w:snapToGrid w:val="0"/>
          <w:color w:val="000000"/>
          <w:sz w:val="32"/>
          <w:szCs w:val="32"/>
          <w:highlight w:val="none"/>
          <w:shd w:val="clear" w:color="auto" w:fill="FFFFFF"/>
        </w:rPr>
        <w:t>单位按照各自职责</w:t>
      </w:r>
      <w:r>
        <w:rPr>
          <w:rFonts w:hint="eastAsia" w:ascii="仿宋_GB2312" w:hAnsi="仿宋_GB2312" w:eastAsia="仿宋_GB2312" w:cs="仿宋_GB2312"/>
          <w:snapToGrid w:val="0"/>
          <w:color w:val="000000"/>
          <w:sz w:val="32"/>
          <w:szCs w:val="32"/>
          <w:highlight w:val="none"/>
          <w:shd w:val="clear" w:color="auto" w:fill="FFFFFF"/>
          <w:lang w:eastAsia="zh-CN"/>
        </w:rPr>
        <w:t>协同</w:t>
      </w:r>
      <w:r>
        <w:rPr>
          <w:rFonts w:hint="eastAsia" w:ascii="仿宋_GB2312" w:hAnsi="仿宋_GB2312" w:eastAsia="仿宋_GB2312" w:cs="仿宋_GB2312"/>
          <w:snapToGrid w:val="0"/>
          <w:color w:val="000000"/>
          <w:sz w:val="32"/>
          <w:szCs w:val="32"/>
          <w:highlight w:val="none"/>
          <w:shd w:val="clear" w:color="auto" w:fill="FFFFFF"/>
        </w:rPr>
        <w:t>配合</w:t>
      </w:r>
      <w:r>
        <w:rPr>
          <w:rFonts w:hint="eastAsia" w:ascii="仿宋_GB2312" w:hAnsi="仿宋_GB2312" w:eastAsia="仿宋_GB2312" w:cs="仿宋_GB2312"/>
          <w:b w:val="0"/>
          <w:bCs w:val="0"/>
          <w:snapToGrid w:val="0"/>
          <w:color w:val="000000"/>
          <w:sz w:val="32"/>
          <w:szCs w:val="32"/>
          <w:highlight w:val="none"/>
          <w:shd w:val="clear" w:color="auto" w:fill="FFFFFF"/>
          <w:lang w:eastAsia="zh-CN"/>
        </w:rPr>
        <w:t>。</w:t>
      </w:r>
      <w:r>
        <w:rPr>
          <w:rFonts w:hint="eastAsia" w:ascii="仿宋_GB2312" w:hAnsi="仿宋_GB2312" w:eastAsia="仿宋_GB2312" w:cs="仿宋_GB2312"/>
          <w:snapToGrid w:val="0"/>
          <w:color w:val="000000"/>
          <w:sz w:val="32"/>
          <w:szCs w:val="32"/>
          <w:highlight w:val="none"/>
          <w:shd w:val="clear" w:color="auto" w:fill="auto"/>
        </w:rPr>
        <w:t>各市县（区）有关责任单位（参照省级单位）依据职责和要求，协同推进所在</w:t>
      </w:r>
      <w:r>
        <w:rPr>
          <w:rFonts w:hint="eastAsia" w:ascii="仿宋_GB2312" w:hAnsi="仿宋_GB2312" w:eastAsia="仿宋_GB2312" w:cs="仿宋_GB2312"/>
          <w:snapToGrid w:val="0"/>
          <w:color w:val="000000"/>
          <w:sz w:val="32"/>
          <w:szCs w:val="32"/>
          <w:highlight w:val="none"/>
          <w:shd w:val="clear" w:color="auto" w:fill="FFFFFF"/>
          <w:lang w:eastAsia="zh-CN"/>
        </w:rPr>
        <w:t>辖区“一件事”有关工作。</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eastAsia" w:ascii="仿宋_GB2312" w:hAnsi="仿宋_GB2312" w:eastAsia="仿宋_GB2312" w:cs="仿宋_GB2312"/>
          <w:snapToGrid w:val="0"/>
          <w:color w:val="000000"/>
          <w:sz w:val="32"/>
          <w:szCs w:val="32"/>
          <w:highlight w:val="none"/>
          <w:shd w:val="clear" w:color="auto" w:fill="FFFFFF"/>
          <w:lang w:val="en-US" w:eastAsia="zh-CN"/>
        </w:rPr>
      </w:pPr>
      <w:r>
        <w:rPr>
          <w:rFonts w:hint="eastAsia" w:ascii="楷体_GB2312" w:hAnsi="楷体_GB2312" w:eastAsia="楷体_GB2312" w:cs="楷体_GB2312"/>
          <w:snapToGrid w:val="0"/>
          <w:color w:val="000000"/>
          <w:sz w:val="32"/>
          <w:szCs w:val="32"/>
          <w:highlight w:val="none"/>
          <w:shd w:val="clear" w:color="auto" w:fill="FFFFFF"/>
          <w:lang w:val="en-US" w:eastAsia="zh-CN"/>
        </w:rPr>
        <w:t>（一）省通信管理局。</w:t>
      </w:r>
      <w:r>
        <w:rPr>
          <w:rFonts w:hint="eastAsia" w:ascii="仿宋_GB2312" w:hAnsi="仿宋_GB2312" w:eastAsia="仿宋_GB2312" w:cs="仿宋_GB2312"/>
          <w:snapToGrid w:val="0"/>
          <w:color w:val="000000"/>
          <w:sz w:val="32"/>
          <w:szCs w:val="32"/>
          <w:highlight w:val="none"/>
          <w:shd w:val="clear" w:color="auto" w:fill="FFFFFF"/>
          <w:lang w:val="en-US" w:eastAsia="zh-CN"/>
        </w:rPr>
        <w:t xml:space="preserve">负责梳理“一件事”业务需求及存在的堵点、难点，优化服务流程，牵头编制“一件事”实施方案，协同推进系统改造、数据共享和效果跟踪等工作。 </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eastAsia" w:ascii="仿宋_GB2312" w:hAnsi="仿宋_GB2312" w:eastAsia="仿宋_GB2312" w:cs="仿宋_GB2312"/>
          <w:snapToGrid w:val="0"/>
          <w:color w:val="000000"/>
          <w:sz w:val="32"/>
          <w:szCs w:val="32"/>
          <w:highlight w:val="none"/>
          <w:shd w:val="clear" w:color="auto" w:fill="FFFFFF"/>
          <w:lang w:val="en-US" w:eastAsia="zh-CN"/>
        </w:rPr>
      </w:pPr>
      <w:r>
        <w:rPr>
          <w:rFonts w:hint="eastAsia" w:ascii="楷体_GB2312" w:hAnsi="楷体_GB2312" w:eastAsia="楷体_GB2312" w:cs="楷体_GB2312"/>
          <w:snapToGrid w:val="0"/>
          <w:color w:val="000000"/>
          <w:sz w:val="32"/>
          <w:szCs w:val="32"/>
          <w:highlight w:val="none"/>
          <w:shd w:val="clear" w:color="auto" w:fill="FFFFFF"/>
          <w:lang w:val="en-US" w:eastAsia="zh-CN"/>
        </w:rPr>
        <w:t>（二）省营商环境建设厅</w:t>
      </w:r>
      <w:r>
        <w:rPr>
          <w:rFonts w:hint="eastAsia" w:ascii="楷体_GB2312" w:hAnsi="楷体_GB2312" w:eastAsia="楷体_GB2312" w:cs="楷体_GB2312"/>
          <w:snapToGrid w:val="0"/>
          <w:color w:val="000000"/>
          <w:sz w:val="32"/>
          <w:szCs w:val="32"/>
          <w:highlight w:val="none"/>
          <w:shd w:val="clear" w:color="auto" w:fill="FFFFFF"/>
          <w:lang w:eastAsia="zh-CN"/>
        </w:rPr>
        <w:t>、</w:t>
      </w:r>
      <w:r>
        <w:rPr>
          <w:rFonts w:hint="eastAsia" w:ascii="楷体_GB2312" w:hAnsi="楷体_GB2312" w:eastAsia="楷体_GB2312" w:cs="楷体_GB2312"/>
          <w:snapToGrid w:val="0"/>
          <w:color w:val="000000"/>
          <w:sz w:val="32"/>
          <w:szCs w:val="32"/>
          <w:highlight w:val="none"/>
          <w:shd w:val="clear" w:color="auto" w:fill="FFFFFF"/>
          <w:lang w:val="en-US" w:eastAsia="zh-CN"/>
        </w:rPr>
        <w:t>省大数据发展中心。</w:t>
      </w:r>
      <w:r>
        <w:rPr>
          <w:rFonts w:hint="eastAsia" w:ascii="仿宋_GB2312" w:hAnsi="仿宋_GB2312" w:eastAsia="仿宋_GB2312" w:cs="仿宋_GB2312"/>
          <w:snapToGrid w:val="0"/>
          <w:color w:val="000000"/>
          <w:sz w:val="32"/>
          <w:szCs w:val="32"/>
          <w:highlight w:val="none"/>
          <w:shd w:val="clear" w:color="auto" w:fill="FFFFFF"/>
          <w:lang w:val="en-US" w:eastAsia="zh-CN"/>
        </w:rPr>
        <w:t xml:space="preserve">推动“海易办”平台“一件事”专栏开发建设，组织相关部门开展业务系统对接，统筹推进“一件事”上线测试、功能优化、政务窗口服务、协商等工作，指导并督促各市县营商环境建设部门推动“一件事” 改革事项落地见效。 </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eastAsia" w:ascii="仿宋_GB2312" w:hAnsi="仿宋_GB2312" w:eastAsia="仿宋_GB2312" w:cs="仿宋_GB2312"/>
          <w:snapToGrid w:val="0"/>
          <w:color w:val="000000"/>
          <w:sz w:val="32"/>
          <w:szCs w:val="32"/>
          <w:highlight w:val="none"/>
          <w:shd w:val="clear" w:color="auto" w:fill="FFFFFF"/>
          <w:lang w:val="en-US" w:eastAsia="zh-CN"/>
        </w:rPr>
      </w:pPr>
      <w:r>
        <w:rPr>
          <w:rFonts w:hint="eastAsia" w:ascii="楷体_GB2312" w:hAnsi="楷体_GB2312" w:eastAsia="楷体_GB2312" w:cs="楷体_GB2312"/>
          <w:snapToGrid w:val="0"/>
          <w:color w:val="000000"/>
          <w:sz w:val="32"/>
          <w:szCs w:val="32"/>
          <w:highlight w:val="none"/>
          <w:shd w:val="clear" w:color="auto" w:fill="FFFFFF"/>
          <w:lang w:val="en-US" w:eastAsia="zh-CN"/>
        </w:rPr>
        <w:t>（三）省工业和信息化厅。</w:t>
      </w:r>
      <w:r>
        <w:rPr>
          <w:rFonts w:hint="eastAsia" w:ascii="仿宋_GB2312" w:hAnsi="仿宋_GB2312" w:eastAsia="仿宋_GB2312" w:cs="仿宋_GB2312"/>
          <w:snapToGrid w:val="0"/>
          <w:color w:val="000000"/>
          <w:sz w:val="32"/>
          <w:szCs w:val="32"/>
          <w:highlight w:val="none"/>
          <w:shd w:val="clear" w:color="auto" w:fill="FFFFFF"/>
          <w:lang w:val="en-US" w:eastAsia="zh-CN"/>
        </w:rPr>
        <w:t>指导、督促各市县工业和信息化主管部门推动“一件事”落地实施，协同推动政务服务从分散处理向集约高效转变。</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eastAsia" w:ascii="仿宋_GB2312" w:hAnsi="仿宋_GB2312" w:eastAsia="仿宋_GB2312" w:cs="仿宋_GB2312"/>
          <w:snapToGrid w:val="0"/>
          <w:color w:val="000000"/>
          <w:sz w:val="32"/>
          <w:szCs w:val="32"/>
          <w:highlight w:val="none"/>
          <w:shd w:val="clear" w:color="auto" w:fill="FFFFFF"/>
          <w:lang w:val="en-US" w:eastAsia="zh-CN"/>
        </w:rPr>
      </w:pPr>
      <w:r>
        <w:rPr>
          <w:rFonts w:hint="eastAsia" w:ascii="楷体_GB2312" w:hAnsi="楷体_GB2312" w:eastAsia="楷体_GB2312" w:cs="楷体_GB2312"/>
          <w:snapToGrid w:val="0"/>
          <w:color w:val="000000"/>
          <w:sz w:val="32"/>
          <w:szCs w:val="32"/>
          <w:highlight w:val="none"/>
          <w:shd w:val="clear" w:color="auto" w:fill="FFFFFF"/>
          <w:lang w:val="en-US" w:eastAsia="zh-CN"/>
        </w:rPr>
        <w:t>（四）省发展改革委。</w:t>
      </w:r>
      <w:r>
        <w:rPr>
          <w:rFonts w:hint="eastAsia" w:ascii="仿宋_GB2312" w:hAnsi="仿宋_GB2312" w:eastAsia="仿宋_GB2312" w:cs="仿宋_GB2312"/>
          <w:snapToGrid w:val="0"/>
          <w:color w:val="000000"/>
          <w:sz w:val="32"/>
          <w:szCs w:val="32"/>
          <w:highlight w:val="none"/>
          <w:shd w:val="clear" w:color="auto" w:fill="FFFFFF"/>
          <w:lang w:val="en-US" w:eastAsia="zh-CN"/>
        </w:rPr>
        <w:t xml:space="preserve">负责协调穿（跨）越铁路、长输油气管线等特殊场景通信项目审批，协助做好铁路、石化等行业相关审批服务工作。 </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eastAsia" w:ascii="华文楷体" w:hAnsi="华文楷体" w:eastAsia="华文楷体" w:cs="华文楷体"/>
          <w:snapToGrid w:val="0"/>
          <w:color w:val="000000"/>
          <w:sz w:val="32"/>
          <w:szCs w:val="32"/>
          <w:highlight w:val="none"/>
          <w:shd w:val="clear" w:color="auto" w:fill="FFFFFF"/>
          <w:lang w:val="en-US" w:eastAsia="zh-CN"/>
        </w:rPr>
      </w:pPr>
      <w:r>
        <w:rPr>
          <w:rFonts w:hint="eastAsia" w:ascii="楷体_GB2312" w:hAnsi="楷体_GB2312" w:eastAsia="楷体_GB2312" w:cs="楷体_GB2312"/>
          <w:snapToGrid w:val="0"/>
          <w:color w:val="000000"/>
          <w:sz w:val="32"/>
          <w:szCs w:val="32"/>
          <w:highlight w:val="none"/>
          <w:shd w:val="clear" w:color="auto" w:fill="FFFFFF"/>
          <w:lang w:val="en-US" w:eastAsia="zh-CN"/>
        </w:rPr>
        <w:t>（五）省自然资源和规划厅。</w:t>
      </w:r>
      <w:r>
        <w:rPr>
          <w:rFonts w:hint="eastAsia" w:ascii="仿宋_GB2312" w:hAnsi="仿宋_GB2312" w:eastAsia="仿宋_GB2312" w:cs="仿宋_GB2312"/>
          <w:snapToGrid w:val="0"/>
          <w:color w:val="000000"/>
          <w:sz w:val="32"/>
          <w:szCs w:val="32"/>
          <w:highlight w:val="none"/>
          <w:shd w:val="clear" w:color="auto" w:fill="FFFFFF"/>
          <w:lang w:val="en-US" w:eastAsia="zh-CN"/>
        </w:rPr>
        <w:t>支持通信建设规划用地审批，配合打通省国土空间基础信息平台，实现数据共享应用，指导各市县不动产登记部门依法办理新建通信网络建设项目用地地役权登记等相关工作。</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eastAsia" w:ascii="仿宋_GB2312" w:hAnsi="仿宋_GB2312" w:eastAsia="仿宋_GB2312" w:cs="仿宋_GB2312"/>
          <w:snapToGrid w:val="0"/>
          <w:color w:val="000000"/>
          <w:sz w:val="32"/>
          <w:szCs w:val="32"/>
          <w:highlight w:val="none"/>
          <w:shd w:val="clear" w:color="auto" w:fill="FFFFFF"/>
          <w:lang w:val="en-US" w:eastAsia="zh-CN"/>
        </w:rPr>
      </w:pPr>
      <w:r>
        <w:rPr>
          <w:rFonts w:hint="eastAsia" w:ascii="楷体_GB2312" w:hAnsi="楷体_GB2312" w:eastAsia="楷体_GB2312" w:cs="楷体_GB2312"/>
          <w:snapToGrid w:val="0"/>
          <w:color w:val="000000"/>
          <w:sz w:val="32"/>
          <w:szCs w:val="32"/>
          <w:highlight w:val="none"/>
          <w:shd w:val="clear" w:color="auto" w:fill="FFFFFF"/>
          <w:lang w:val="en-US" w:eastAsia="zh-CN"/>
        </w:rPr>
        <w:t>（六）省生态环境厅。</w:t>
      </w:r>
      <w:r>
        <w:rPr>
          <w:rFonts w:hint="eastAsia" w:ascii="仿宋_GB2312" w:hAnsi="仿宋_GB2312" w:eastAsia="仿宋_GB2312" w:cs="仿宋_GB2312"/>
          <w:snapToGrid w:val="0"/>
          <w:color w:val="000000"/>
          <w:sz w:val="32"/>
          <w:szCs w:val="32"/>
          <w:highlight w:val="none"/>
          <w:shd w:val="clear" w:color="auto" w:fill="FFFFFF"/>
          <w:lang w:val="en-US" w:eastAsia="zh-CN"/>
        </w:rPr>
        <w:t xml:space="preserve">负责“一件事”涉及通信基站环境影响登记表备案事项的工作指导。 </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eastAsia" w:ascii="仿宋_GB2312" w:hAnsi="仿宋_GB2312" w:eastAsia="仿宋_GB2312" w:cs="仿宋_GB2312"/>
          <w:snapToGrid w:val="0"/>
          <w:color w:val="000000"/>
          <w:sz w:val="32"/>
          <w:szCs w:val="32"/>
          <w:highlight w:val="none"/>
          <w:shd w:val="clear" w:color="auto" w:fill="FFFFFF"/>
          <w:lang w:val="en-US" w:eastAsia="zh-CN"/>
        </w:rPr>
      </w:pPr>
      <w:r>
        <w:rPr>
          <w:rFonts w:hint="eastAsia" w:ascii="楷体_GB2312" w:hAnsi="楷体_GB2312" w:eastAsia="楷体_GB2312" w:cs="楷体_GB2312"/>
          <w:snapToGrid w:val="0"/>
          <w:color w:val="000000"/>
          <w:sz w:val="32"/>
          <w:szCs w:val="32"/>
          <w:highlight w:val="none"/>
          <w:shd w:val="clear" w:color="auto" w:fill="FFFFFF"/>
          <w:lang w:val="en-US" w:eastAsia="zh-CN"/>
        </w:rPr>
        <w:t>（七）省公安厅。</w:t>
      </w:r>
      <w:r>
        <w:rPr>
          <w:rFonts w:hint="eastAsia" w:ascii="仿宋_GB2312" w:hAnsi="仿宋_GB2312" w:eastAsia="仿宋_GB2312" w:cs="仿宋_GB2312"/>
          <w:snapToGrid w:val="0"/>
          <w:color w:val="000000"/>
          <w:sz w:val="32"/>
          <w:szCs w:val="32"/>
          <w:highlight w:val="none"/>
          <w:shd w:val="clear" w:color="auto" w:fill="FFFFFF"/>
          <w:lang w:val="en-US" w:eastAsia="zh-CN"/>
        </w:rPr>
        <w:t xml:space="preserve">负责“一件事”涉路施工的交通管制审批，保障通信设施建设期间道路交通安全和秩序。 </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eastAsia" w:ascii="仿宋_GB2312" w:hAnsi="仿宋_GB2312" w:eastAsia="仿宋_GB2312" w:cs="仿宋_GB2312"/>
          <w:snapToGrid w:val="0"/>
          <w:color w:val="000000"/>
          <w:sz w:val="32"/>
          <w:szCs w:val="32"/>
          <w:highlight w:val="none"/>
          <w:shd w:val="clear" w:color="auto" w:fill="FFFFFF"/>
          <w:lang w:val="en-US" w:eastAsia="zh-CN"/>
        </w:rPr>
      </w:pPr>
      <w:r>
        <w:rPr>
          <w:rFonts w:hint="eastAsia" w:ascii="楷体_GB2312" w:hAnsi="楷体_GB2312" w:eastAsia="楷体_GB2312" w:cs="楷体_GB2312"/>
          <w:snapToGrid w:val="0"/>
          <w:color w:val="000000"/>
          <w:sz w:val="32"/>
          <w:szCs w:val="32"/>
          <w:highlight w:val="none"/>
          <w:shd w:val="clear" w:color="auto" w:fill="FFFFFF"/>
          <w:lang w:val="en-US" w:eastAsia="zh-CN"/>
        </w:rPr>
        <w:t>（八）省住房城乡建设厅。</w:t>
      </w:r>
      <w:r>
        <w:rPr>
          <w:rFonts w:hint="eastAsia" w:ascii="仿宋_GB2312" w:hAnsi="仿宋_GB2312" w:eastAsia="仿宋_GB2312" w:cs="仿宋_GB2312"/>
          <w:snapToGrid w:val="0"/>
          <w:color w:val="000000"/>
          <w:sz w:val="32"/>
          <w:szCs w:val="32"/>
          <w:highlight w:val="none"/>
          <w:shd w:val="clear" w:color="auto" w:fill="FFFFFF"/>
          <w:lang w:val="en-US" w:eastAsia="zh-CN"/>
        </w:rPr>
        <w:t>负责临时占用城市道路、公共场地、绿地等审批事项的工作指导。</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eastAsia" w:ascii="华文楷体" w:hAnsi="华文楷体" w:eastAsia="华文楷体" w:cs="华文楷体"/>
          <w:snapToGrid w:val="0"/>
          <w:color w:val="000000"/>
          <w:sz w:val="32"/>
          <w:szCs w:val="32"/>
          <w:highlight w:val="none"/>
          <w:shd w:val="clear" w:color="auto" w:fill="FFFFFF"/>
          <w:lang w:val="en-US" w:eastAsia="zh-CN"/>
        </w:rPr>
      </w:pPr>
      <w:r>
        <w:rPr>
          <w:rFonts w:hint="eastAsia" w:ascii="楷体_GB2312" w:hAnsi="楷体_GB2312" w:eastAsia="楷体_GB2312" w:cs="楷体_GB2312"/>
          <w:snapToGrid w:val="0"/>
          <w:color w:val="000000"/>
          <w:sz w:val="32"/>
          <w:szCs w:val="32"/>
          <w:highlight w:val="none"/>
          <w:shd w:val="clear" w:color="auto" w:fill="FFFFFF"/>
          <w:lang w:val="en-US" w:eastAsia="zh-CN"/>
        </w:rPr>
        <w:t>（九）省交通运输厅。</w:t>
      </w:r>
      <w:r>
        <w:rPr>
          <w:rFonts w:hint="eastAsia" w:ascii="仿宋_GB2312" w:hAnsi="仿宋_GB2312" w:eastAsia="仿宋_GB2312" w:cs="仿宋_GB2312"/>
          <w:snapToGrid w:val="0"/>
          <w:color w:val="000000"/>
          <w:sz w:val="32"/>
          <w:szCs w:val="32"/>
          <w:highlight w:val="none"/>
          <w:shd w:val="clear" w:color="auto" w:fill="FFFFFF"/>
          <w:lang w:val="en-US" w:eastAsia="zh-CN"/>
        </w:rPr>
        <w:t>负责高速公路、国省道涉路施工行政许可审批；协调组织高速公路、国省道涉路施工许可现场勘查工作。</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eastAsia" w:ascii="仿宋_GB2312" w:hAnsi="仿宋_GB2312" w:eastAsia="仿宋_GB2312" w:cs="仿宋_GB2312"/>
          <w:snapToGrid w:val="0"/>
          <w:color w:val="000000"/>
          <w:sz w:val="32"/>
          <w:szCs w:val="32"/>
          <w:highlight w:val="none"/>
          <w:shd w:val="clear" w:color="auto" w:fill="FFFFFF"/>
          <w:lang w:val="en-US" w:eastAsia="zh-CN"/>
        </w:rPr>
      </w:pPr>
      <w:r>
        <w:rPr>
          <w:rFonts w:hint="eastAsia" w:ascii="楷体_GB2312" w:hAnsi="楷体_GB2312" w:eastAsia="楷体_GB2312" w:cs="楷体_GB2312"/>
          <w:snapToGrid w:val="0"/>
          <w:color w:val="000000"/>
          <w:sz w:val="32"/>
          <w:szCs w:val="32"/>
          <w:highlight w:val="none"/>
          <w:shd w:val="clear" w:color="auto" w:fill="FFFFFF"/>
          <w:lang w:val="en-US" w:eastAsia="zh-CN"/>
        </w:rPr>
        <w:t>（十）省水务厅。</w:t>
      </w:r>
      <w:r>
        <w:rPr>
          <w:rFonts w:hint="eastAsia" w:ascii="仿宋_GB2312" w:hAnsi="仿宋_GB2312" w:eastAsia="仿宋_GB2312" w:cs="仿宋_GB2312"/>
          <w:snapToGrid w:val="0"/>
          <w:color w:val="000000"/>
          <w:sz w:val="32"/>
          <w:szCs w:val="32"/>
          <w:highlight w:val="none"/>
          <w:shd w:val="clear" w:color="auto" w:fill="FFFFFF"/>
          <w:lang w:val="en-US" w:eastAsia="zh-CN"/>
        </w:rPr>
        <w:t xml:space="preserve">负责占用农业灌溉水源、灌排设施审批；河道管理范围内建设项目方案审批与备案，组织水利行业相关项目联合踏勘并出具审查意见。 </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eastAsia" w:ascii="仿宋_GB2312" w:hAnsi="仿宋_GB2312" w:eastAsia="仿宋_GB2312" w:cs="仿宋_GB2312"/>
          <w:snapToGrid w:val="0"/>
          <w:color w:val="000000"/>
          <w:sz w:val="32"/>
          <w:szCs w:val="32"/>
          <w:highlight w:val="none"/>
          <w:shd w:val="clear" w:color="auto" w:fill="FFFFFF"/>
          <w:lang w:val="en-US" w:eastAsia="zh-CN"/>
        </w:rPr>
      </w:pPr>
      <w:r>
        <w:rPr>
          <w:rFonts w:hint="eastAsia" w:ascii="楷体_GB2312" w:hAnsi="楷体_GB2312" w:eastAsia="楷体_GB2312" w:cs="楷体_GB2312"/>
          <w:snapToGrid w:val="0"/>
          <w:color w:val="000000"/>
          <w:sz w:val="32"/>
          <w:szCs w:val="32"/>
          <w:highlight w:val="none"/>
          <w:shd w:val="clear" w:color="auto" w:fill="FFFFFF"/>
          <w:lang w:val="en-US" w:eastAsia="zh-CN"/>
        </w:rPr>
        <w:t>（十一）省林业局。</w:t>
      </w:r>
      <w:r>
        <w:rPr>
          <w:rFonts w:hint="eastAsia" w:ascii="仿宋_GB2312" w:hAnsi="仿宋_GB2312" w:eastAsia="仿宋_GB2312" w:cs="仿宋_GB2312"/>
          <w:snapToGrid w:val="0"/>
          <w:color w:val="000000"/>
          <w:sz w:val="32"/>
          <w:szCs w:val="32"/>
          <w:highlight w:val="none"/>
          <w:shd w:val="clear" w:color="auto" w:fill="FFFFFF"/>
          <w:lang w:val="en-US" w:eastAsia="zh-CN"/>
        </w:rPr>
        <w:t xml:space="preserve">负责开展国家林草局委托省林业局实施的永久占用林地审核，核发省属国有林场区域的林木采伐许可证；涉公益林征占用审核审批；指导市县审批部门开展省级委托市县实施的永久占用林地审核、临时占用林地审批以及修筑直接为林业生产经营服务的工程设施审批，核发非省属国有林场区域的林木采伐许可证；配合组织单位开展穿（跨）越林地、自然保护地、重要湿地（红树林湿地）等项目的联合踏勘，并出具行业审查意见。 </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eastAsia" w:ascii="仿宋_GB2312" w:hAnsi="仿宋_GB2312" w:eastAsia="仿宋_GB2312" w:cs="仿宋_GB2312"/>
          <w:snapToGrid w:val="0"/>
          <w:color w:val="000000"/>
          <w:sz w:val="32"/>
          <w:szCs w:val="32"/>
          <w:highlight w:val="none"/>
          <w:shd w:val="clear" w:color="auto" w:fill="FFFFFF"/>
          <w:lang w:val="en-US" w:eastAsia="zh-CN"/>
        </w:rPr>
      </w:pPr>
      <w:r>
        <w:rPr>
          <w:rFonts w:hint="eastAsia" w:ascii="楷体_GB2312" w:hAnsi="楷体_GB2312" w:eastAsia="楷体_GB2312" w:cs="楷体_GB2312"/>
          <w:snapToGrid w:val="0"/>
          <w:color w:val="000000"/>
          <w:sz w:val="32"/>
          <w:szCs w:val="32"/>
          <w:highlight w:val="none"/>
          <w:shd w:val="clear" w:color="auto" w:fill="FFFFFF"/>
          <w:lang w:val="en-US" w:eastAsia="zh-CN"/>
        </w:rPr>
        <w:t>（十</w:t>
      </w:r>
      <w:r>
        <w:rPr>
          <w:rFonts w:hint="eastAsia" w:ascii="楷体_GB2312" w:hAnsi="楷体_GB2312" w:eastAsia="楷体_GB2312" w:cs="楷体_GB2312"/>
          <w:snapToGrid w:val="0"/>
          <w:color w:val="000000"/>
          <w:sz w:val="32"/>
          <w:szCs w:val="32"/>
          <w:highlight w:val="none"/>
          <w:shd w:val="clear" w:color="auto" w:fill="FFFFFF"/>
          <w:lang w:eastAsia="zh-CN"/>
        </w:rPr>
        <w:t>二</w:t>
      </w:r>
      <w:r>
        <w:rPr>
          <w:rFonts w:hint="eastAsia" w:ascii="楷体_GB2312" w:hAnsi="楷体_GB2312" w:eastAsia="楷体_GB2312" w:cs="楷体_GB2312"/>
          <w:snapToGrid w:val="0"/>
          <w:color w:val="000000"/>
          <w:sz w:val="32"/>
          <w:szCs w:val="32"/>
          <w:highlight w:val="none"/>
          <w:shd w:val="clear" w:color="auto" w:fill="FFFFFF"/>
          <w:lang w:val="en-US" w:eastAsia="zh-CN"/>
        </w:rPr>
        <w:t>）省国家安全厅。</w:t>
      </w:r>
      <w:r>
        <w:rPr>
          <w:rFonts w:hint="eastAsia" w:ascii="仿宋_GB2312" w:hAnsi="仿宋_GB2312" w:eastAsia="仿宋_GB2312" w:cs="仿宋_GB2312"/>
          <w:snapToGrid w:val="0"/>
          <w:color w:val="000000"/>
          <w:sz w:val="32"/>
          <w:szCs w:val="32"/>
          <w:highlight w:val="none"/>
          <w:shd w:val="clear" w:color="auto" w:fill="FFFFFF"/>
          <w:lang w:val="en-US" w:eastAsia="zh-CN"/>
        </w:rPr>
        <w:t xml:space="preserve">负责涉及国家安全事项的通信建设项目选址、报建审批。 </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eastAsia" w:ascii="仿宋_GB2312" w:hAnsi="仿宋_GB2312" w:eastAsia="仿宋_GB2312" w:cs="仿宋_GB2312"/>
          <w:snapToGrid w:val="0"/>
          <w:color w:val="000000"/>
          <w:sz w:val="32"/>
          <w:szCs w:val="32"/>
          <w:highlight w:val="none"/>
          <w:shd w:val="clear" w:color="auto" w:fill="FFFFFF"/>
          <w:lang w:val="en-US" w:eastAsia="zh-CN"/>
        </w:rPr>
      </w:pPr>
      <w:r>
        <w:rPr>
          <w:rFonts w:hint="eastAsia" w:ascii="华文楷体" w:hAnsi="华文楷体" w:eastAsia="华文楷体" w:cs="华文楷体"/>
          <w:snapToGrid w:val="0"/>
          <w:color w:val="000000"/>
          <w:sz w:val="32"/>
          <w:szCs w:val="32"/>
          <w:highlight w:val="none"/>
          <w:shd w:val="clear" w:color="auto" w:fill="FFFFFF"/>
          <w:lang w:val="en-US" w:eastAsia="zh-CN"/>
        </w:rPr>
        <w:t>（十</w:t>
      </w:r>
      <w:r>
        <w:rPr>
          <w:rFonts w:hint="default" w:ascii="华文楷体" w:hAnsi="华文楷体" w:eastAsia="华文楷体" w:cs="华文楷体"/>
          <w:snapToGrid w:val="0"/>
          <w:color w:val="000000"/>
          <w:sz w:val="32"/>
          <w:szCs w:val="32"/>
          <w:highlight w:val="none"/>
          <w:shd w:val="clear" w:color="auto" w:fill="FFFFFF"/>
          <w:lang w:eastAsia="zh-CN"/>
        </w:rPr>
        <w:t>三</w:t>
      </w:r>
      <w:r>
        <w:rPr>
          <w:rFonts w:hint="eastAsia" w:ascii="华文楷体" w:hAnsi="华文楷体" w:eastAsia="华文楷体" w:cs="华文楷体"/>
          <w:snapToGrid w:val="0"/>
          <w:color w:val="000000"/>
          <w:sz w:val="32"/>
          <w:szCs w:val="32"/>
          <w:highlight w:val="none"/>
          <w:shd w:val="clear" w:color="auto" w:fill="FFFFFF"/>
          <w:lang w:val="en-US" w:eastAsia="zh-CN"/>
        </w:rPr>
        <w:t>）海南海事局</w:t>
      </w:r>
      <w:r>
        <w:rPr>
          <w:rFonts w:hint="eastAsia" w:ascii="仿宋_GB2312" w:hAnsi="仿宋_GB2312" w:eastAsia="仿宋_GB2312" w:cs="仿宋_GB2312"/>
          <w:snapToGrid w:val="0"/>
          <w:color w:val="000000"/>
          <w:sz w:val="32"/>
          <w:szCs w:val="32"/>
          <w:highlight w:val="none"/>
          <w:shd w:val="clear" w:color="auto" w:fill="FFFFFF"/>
          <w:lang w:val="en-US" w:eastAsia="zh-CN"/>
        </w:rPr>
        <w:t xml:space="preserve">。负责水上水下作业施工许可审批。 </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华文楷体" w:hAnsi="华文楷体" w:eastAsia="华文楷体" w:cs="华文楷体"/>
          <w:snapToGrid w:val="0"/>
          <w:color w:val="000000"/>
          <w:sz w:val="32"/>
          <w:szCs w:val="32"/>
          <w:highlight w:val="none"/>
          <w:shd w:val="clear" w:color="auto" w:fill="FFFFFF"/>
          <w:lang w:eastAsia="zh-CN"/>
        </w:rPr>
      </w:pPr>
      <w:r>
        <w:rPr>
          <w:rFonts w:hint="eastAsia" w:ascii="华文楷体" w:hAnsi="华文楷体" w:eastAsia="华文楷体" w:cs="华文楷体"/>
          <w:snapToGrid w:val="0"/>
          <w:color w:val="000000"/>
          <w:sz w:val="32"/>
          <w:szCs w:val="32"/>
          <w:highlight w:val="none"/>
          <w:shd w:val="clear" w:color="auto" w:fill="FFFFFF"/>
          <w:lang w:val="en-US" w:eastAsia="zh-CN"/>
        </w:rPr>
        <w:t>（十</w:t>
      </w:r>
      <w:r>
        <w:rPr>
          <w:rFonts w:hint="eastAsia" w:ascii="华文楷体" w:hAnsi="华文楷体" w:eastAsia="华文楷体" w:cs="华文楷体"/>
          <w:snapToGrid w:val="0"/>
          <w:color w:val="000000"/>
          <w:sz w:val="32"/>
          <w:szCs w:val="32"/>
          <w:highlight w:val="none"/>
          <w:shd w:val="clear" w:color="auto" w:fill="FFFFFF"/>
          <w:lang w:eastAsia="zh-CN"/>
        </w:rPr>
        <w:t>四</w:t>
      </w:r>
      <w:r>
        <w:rPr>
          <w:rFonts w:hint="eastAsia" w:ascii="华文楷体" w:hAnsi="华文楷体" w:eastAsia="华文楷体" w:cs="华文楷体"/>
          <w:snapToGrid w:val="0"/>
          <w:color w:val="000000"/>
          <w:sz w:val="32"/>
          <w:szCs w:val="32"/>
          <w:highlight w:val="none"/>
          <w:shd w:val="clear" w:color="auto" w:fill="FFFFFF"/>
          <w:lang w:val="en-US" w:eastAsia="zh-CN"/>
        </w:rPr>
        <w:t>）民航海南安全监督管理局</w:t>
      </w:r>
      <w:r>
        <w:rPr>
          <w:rFonts w:hint="eastAsia" w:ascii="楷体_GB2312" w:hAnsi="楷体_GB2312" w:eastAsia="楷体_GB2312" w:cs="楷体_GB2312"/>
          <w:snapToGrid w:val="0"/>
          <w:color w:val="000000"/>
          <w:sz w:val="32"/>
          <w:szCs w:val="32"/>
          <w:highlight w:val="none"/>
          <w:shd w:val="clear" w:color="auto" w:fill="FFFFFF"/>
          <w:lang w:val="en-US" w:eastAsia="zh-CN"/>
        </w:rPr>
        <w:t>。</w:t>
      </w:r>
      <w:r>
        <w:rPr>
          <w:rFonts w:hint="eastAsia" w:ascii="仿宋_GB2312" w:hAnsi="仿宋_GB2312" w:eastAsia="仿宋_GB2312" w:cs="仿宋_GB2312"/>
          <w:snapToGrid w:val="0"/>
          <w:color w:val="000000"/>
          <w:sz w:val="32"/>
          <w:szCs w:val="32"/>
          <w:highlight w:val="none"/>
          <w:shd w:val="clear" w:color="auto" w:fill="FFFFFF"/>
          <w:lang w:val="en-US" w:eastAsia="zh-CN"/>
        </w:rPr>
        <w:t>负责机场净空保护区域内建（构）筑物高度等审核，确保通信设施不影响航空运行安全。</w:t>
      </w:r>
      <w:r>
        <w:rPr>
          <w:rFonts w:hint="default" w:ascii="华文楷体" w:hAnsi="华文楷体" w:eastAsia="华文楷体" w:cs="华文楷体"/>
          <w:snapToGrid w:val="0"/>
          <w:color w:val="000000"/>
          <w:sz w:val="32"/>
          <w:szCs w:val="32"/>
          <w:highlight w:val="none"/>
          <w:shd w:val="clear" w:color="auto" w:fill="FFFFFF"/>
          <w:lang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eastAsia" w:ascii="仿宋_GB2312" w:hAnsi="仿宋_GB2312" w:eastAsia="仿宋_GB2312" w:cs="仿宋_GB2312"/>
          <w:snapToGrid w:val="0"/>
          <w:color w:val="000000"/>
          <w:sz w:val="32"/>
          <w:szCs w:val="32"/>
          <w:highlight w:val="none"/>
          <w:shd w:val="clear" w:color="auto" w:fill="FFFFFF"/>
          <w:lang w:val="en-US" w:eastAsia="zh-CN"/>
        </w:rPr>
      </w:pPr>
      <w:r>
        <w:rPr>
          <w:rFonts w:hint="eastAsia" w:ascii="楷体_GB2312" w:hAnsi="楷体_GB2312" w:eastAsia="楷体_GB2312" w:cs="楷体_GB2312"/>
          <w:snapToGrid w:val="0"/>
          <w:color w:val="000000"/>
          <w:sz w:val="32"/>
          <w:szCs w:val="32"/>
          <w:highlight w:val="none"/>
          <w:shd w:val="clear" w:color="auto" w:fill="FFFFFF"/>
          <w:lang w:val="en-US" w:eastAsia="zh-CN"/>
        </w:rPr>
        <w:t>（十</w:t>
      </w:r>
      <w:r>
        <w:rPr>
          <w:rFonts w:hint="eastAsia" w:ascii="楷体_GB2312" w:hAnsi="楷体_GB2312" w:eastAsia="楷体_GB2312" w:cs="楷体_GB2312"/>
          <w:snapToGrid w:val="0"/>
          <w:color w:val="000000"/>
          <w:sz w:val="32"/>
          <w:szCs w:val="32"/>
          <w:highlight w:val="none"/>
          <w:shd w:val="clear" w:color="auto" w:fill="FFFFFF"/>
          <w:lang w:eastAsia="zh-CN"/>
        </w:rPr>
        <w:t>五</w:t>
      </w:r>
      <w:r>
        <w:rPr>
          <w:rFonts w:hint="eastAsia" w:ascii="楷体_GB2312" w:hAnsi="楷体_GB2312" w:eastAsia="楷体_GB2312" w:cs="楷体_GB2312"/>
          <w:snapToGrid w:val="0"/>
          <w:color w:val="000000"/>
          <w:sz w:val="32"/>
          <w:szCs w:val="32"/>
          <w:highlight w:val="none"/>
          <w:shd w:val="clear" w:color="auto" w:fill="FFFFFF"/>
          <w:lang w:val="en-US" w:eastAsia="zh-CN"/>
        </w:rPr>
        <w:t>）省农垦投资控股集团有限公司。</w:t>
      </w:r>
      <w:r>
        <w:rPr>
          <w:rFonts w:hint="eastAsia" w:ascii="仿宋_GB2312" w:hAnsi="仿宋_GB2312" w:eastAsia="仿宋_GB2312" w:cs="仿宋_GB2312"/>
          <w:snapToGrid w:val="0"/>
          <w:color w:val="000000"/>
          <w:sz w:val="32"/>
          <w:szCs w:val="32"/>
          <w:highlight w:val="none"/>
          <w:shd w:val="clear" w:color="auto" w:fill="FFFFFF"/>
          <w:lang w:val="en-US" w:eastAsia="zh-CN"/>
        </w:rPr>
        <w:t>配合</w:t>
      </w:r>
      <w:r>
        <w:rPr>
          <w:rFonts w:hint="default" w:ascii="仿宋_GB2312" w:hAnsi="仿宋_GB2312" w:eastAsia="仿宋_GB2312" w:cs="仿宋_GB2312"/>
          <w:snapToGrid w:val="0"/>
          <w:color w:val="000000"/>
          <w:sz w:val="32"/>
          <w:szCs w:val="32"/>
          <w:highlight w:val="none"/>
          <w:shd w:val="clear" w:color="auto" w:fill="FFFFFF"/>
          <w:lang w:eastAsia="zh-CN"/>
        </w:rPr>
        <w:t>做好</w:t>
      </w:r>
      <w:r>
        <w:rPr>
          <w:rFonts w:hint="eastAsia" w:ascii="仿宋_GB2312" w:hAnsi="仿宋_GB2312" w:eastAsia="仿宋_GB2312" w:cs="仿宋_GB2312"/>
          <w:snapToGrid w:val="0"/>
          <w:color w:val="000000"/>
          <w:sz w:val="32"/>
          <w:szCs w:val="32"/>
          <w:highlight w:val="none"/>
          <w:shd w:val="clear" w:color="auto" w:fill="FFFFFF"/>
          <w:lang w:eastAsia="zh-CN"/>
        </w:rPr>
        <w:t>我省</w:t>
      </w:r>
      <w:r>
        <w:rPr>
          <w:rFonts w:hint="eastAsia" w:ascii="仿宋_GB2312" w:hAnsi="仿宋_GB2312" w:eastAsia="仿宋_GB2312" w:cs="仿宋_GB2312"/>
          <w:snapToGrid w:val="0"/>
          <w:color w:val="000000"/>
          <w:sz w:val="32"/>
          <w:szCs w:val="32"/>
          <w:highlight w:val="none"/>
          <w:shd w:val="clear" w:color="auto" w:fill="FFFFFF"/>
          <w:lang w:val="en-US" w:eastAsia="zh-CN"/>
        </w:rPr>
        <w:t>农垦范围内通信</w:t>
      </w:r>
      <w:r>
        <w:rPr>
          <w:rFonts w:hint="default" w:ascii="仿宋_GB2312" w:hAnsi="仿宋_GB2312" w:eastAsia="仿宋_GB2312" w:cs="仿宋_GB2312"/>
          <w:snapToGrid w:val="0"/>
          <w:color w:val="000000"/>
          <w:sz w:val="32"/>
          <w:szCs w:val="32"/>
          <w:highlight w:val="none"/>
          <w:shd w:val="clear" w:color="auto" w:fill="FFFFFF"/>
          <w:lang w:eastAsia="zh-CN"/>
        </w:rPr>
        <w:t>网络</w:t>
      </w:r>
      <w:r>
        <w:rPr>
          <w:rFonts w:hint="eastAsia" w:ascii="仿宋_GB2312" w:hAnsi="仿宋_GB2312" w:eastAsia="仿宋_GB2312" w:cs="仿宋_GB2312"/>
          <w:snapToGrid w:val="0"/>
          <w:color w:val="000000"/>
          <w:sz w:val="32"/>
          <w:szCs w:val="32"/>
          <w:highlight w:val="none"/>
          <w:shd w:val="clear" w:color="auto" w:fill="FFFFFF"/>
          <w:lang w:val="en-US" w:eastAsia="zh-CN"/>
        </w:rPr>
        <w:t xml:space="preserve">建设项目施工审批相关工作，协调用地使用与相关建设事宜。 </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eastAsia" w:ascii="仿宋_GB2312" w:hAnsi="仿宋_GB2312" w:eastAsia="仿宋_GB2312" w:cs="仿宋_GB2312"/>
          <w:snapToGrid w:val="0"/>
          <w:color w:val="000000"/>
          <w:sz w:val="32"/>
          <w:szCs w:val="32"/>
          <w:highlight w:val="none"/>
          <w:shd w:val="clear" w:color="auto" w:fill="FFFFFF"/>
          <w:lang w:val="en-US" w:eastAsia="zh-CN"/>
        </w:rPr>
      </w:pPr>
      <w:r>
        <w:rPr>
          <w:rFonts w:hint="eastAsia" w:ascii="楷体_GB2312" w:hAnsi="楷体_GB2312" w:eastAsia="楷体_GB2312" w:cs="楷体_GB2312"/>
          <w:snapToGrid w:val="0"/>
          <w:color w:val="000000"/>
          <w:sz w:val="32"/>
          <w:szCs w:val="32"/>
          <w:highlight w:val="none"/>
          <w:shd w:val="clear" w:color="auto" w:fill="FFFFFF"/>
          <w:lang w:val="en-US" w:eastAsia="zh-CN"/>
        </w:rPr>
        <w:t>（十</w:t>
      </w:r>
      <w:r>
        <w:rPr>
          <w:rFonts w:hint="eastAsia" w:ascii="楷体_GB2312" w:hAnsi="楷体_GB2312" w:eastAsia="楷体_GB2312" w:cs="楷体_GB2312"/>
          <w:snapToGrid w:val="0"/>
          <w:color w:val="000000"/>
          <w:sz w:val="32"/>
          <w:szCs w:val="32"/>
          <w:highlight w:val="none"/>
          <w:shd w:val="clear" w:color="auto" w:fill="FFFFFF"/>
          <w:lang w:eastAsia="zh-CN"/>
        </w:rPr>
        <w:t>六</w:t>
      </w:r>
      <w:r>
        <w:rPr>
          <w:rFonts w:hint="eastAsia" w:ascii="楷体_GB2312" w:hAnsi="楷体_GB2312" w:eastAsia="楷体_GB2312" w:cs="楷体_GB2312"/>
          <w:snapToGrid w:val="0"/>
          <w:color w:val="000000"/>
          <w:sz w:val="32"/>
          <w:szCs w:val="32"/>
          <w:highlight w:val="none"/>
          <w:shd w:val="clear" w:color="auto" w:fill="FFFFFF"/>
          <w:lang w:val="en-US" w:eastAsia="zh-CN"/>
        </w:rPr>
        <w:t>）海南电网公司。</w:t>
      </w:r>
      <w:r>
        <w:rPr>
          <w:rFonts w:hint="eastAsia" w:ascii="仿宋_GB2312" w:hAnsi="仿宋_GB2312" w:eastAsia="仿宋_GB2312" w:cs="仿宋_GB2312"/>
          <w:snapToGrid w:val="0"/>
          <w:color w:val="000000"/>
          <w:sz w:val="32"/>
          <w:szCs w:val="32"/>
          <w:highlight w:val="none"/>
          <w:shd w:val="clear" w:color="auto" w:fill="FFFFFF"/>
          <w:lang w:val="en-US" w:eastAsia="zh-CN"/>
        </w:rPr>
        <w:t xml:space="preserve">负责通信网络建设项目的用电报装服务，保障电力供应接入。 </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eastAsia"/>
        </w:rPr>
      </w:pPr>
      <w:r>
        <w:rPr>
          <w:rFonts w:hint="eastAsia" w:ascii="楷体_GB2312" w:hAnsi="楷体_GB2312" w:eastAsia="楷体_GB2312" w:cs="楷体_GB2312"/>
          <w:snapToGrid w:val="0"/>
          <w:color w:val="000000"/>
          <w:sz w:val="32"/>
          <w:szCs w:val="32"/>
          <w:highlight w:val="none"/>
          <w:shd w:val="clear" w:color="auto" w:fill="FFFFFF"/>
          <w:lang w:val="en-US" w:eastAsia="zh-CN"/>
        </w:rPr>
        <w:t>（十</w:t>
      </w:r>
      <w:r>
        <w:rPr>
          <w:rFonts w:hint="eastAsia" w:ascii="楷体_GB2312" w:hAnsi="楷体_GB2312" w:eastAsia="楷体_GB2312" w:cs="楷体_GB2312"/>
          <w:snapToGrid w:val="0"/>
          <w:color w:val="000000"/>
          <w:sz w:val="32"/>
          <w:szCs w:val="32"/>
          <w:highlight w:val="none"/>
          <w:shd w:val="clear" w:color="auto" w:fill="FFFFFF"/>
          <w:lang w:eastAsia="zh-CN"/>
        </w:rPr>
        <w:t>七</w:t>
      </w:r>
      <w:r>
        <w:rPr>
          <w:rFonts w:hint="eastAsia" w:ascii="楷体_GB2312" w:hAnsi="楷体_GB2312" w:eastAsia="楷体_GB2312" w:cs="楷体_GB2312"/>
          <w:snapToGrid w:val="0"/>
          <w:color w:val="000000"/>
          <w:sz w:val="32"/>
          <w:szCs w:val="32"/>
          <w:highlight w:val="none"/>
          <w:shd w:val="clear" w:color="auto" w:fill="FFFFFF"/>
          <w:lang w:val="en-US" w:eastAsia="zh-CN"/>
        </w:rPr>
        <w:t>）海南铁路有限公司。</w:t>
      </w:r>
      <w:r>
        <w:rPr>
          <w:rFonts w:hint="eastAsia" w:ascii="仿宋_GB2312" w:hAnsi="仿宋_GB2312" w:eastAsia="仿宋_GB2312" w:cs="仿宋_GB2312"/>
          <w:snapToGrid w:val="0"/>
          <w:color w:val="000000"/>
          <w:sz w:val="32"/>
          <w:szCs w:val="32"/>
          <w:highlight w:val="none"/>
          <w:shd w:val="clear" w:color="auto" w:fill="FFFFFF"/>
          <w:lang w:val="en-US" w:eastAsia="zh-CN"/>
        </w:rPr>
        <w:t>配合</w:t>
      </w:r>
      <w:r>
        <w:rPr>
          <w:rFonts w:hint="default" w:ascii="仿宋_GB2312" w:hAnsi="仿宋_GB2312" w:eastAsia="仿宋_GB2312" w:cs="仿宋_GB2312"/>
          <w:snapToGrid w:val="0"/>
          <w:color w:val="000000"/>
          <w:sz w:val="32"/>
          <w:szCs w:val="32"/>
          <w:highlight w:val="none"/>
          <w:shd w:val="clear" w:color="auto" w:fill="FFFFFF"/>
          <w:lang w:eastAsia="zh-CN"/>
        </w:rPr>
        <w:t>做好</w:t>
      </w:r>
      <w:r>
        <w:rPr>
          <w:rFonts w:hint="eastAsia" w:ascii="仿宋_GB2312" w:hAnsi="仿宋_GB2312" w:eastAsia="仿宋_GB2312" w:cs="仿宋_GB2312"/>
          <w:snapToGrid w:val="0"/>
          <w:color w:val="000000"/>
          <w:sz w:val="32"/>
          <w:szCs w:val="32"/>
          <w:highlight w:val="none"/>
          <w:shd w:val="clear" w:color="auto" w:fill="FFFFFF"/>
          <w:lang w:eastAsia="zh-CN"/>
        </w:rPr>
        <w:t>我省</w:t>
      </w:r>
      <w:r>
        <w:rPr>
          <w:rFonts w:hint="eastAsia" w:ascii="仿宋_GB2312" w:hAnsi="仿宋_GB2312" w:eastAsia="仿宋_GB2312" w:cs="仿宋_GB2312"/>
          <w:b w:val="0"/>
          <w:bCs w:val="0"/>
          <w:i w:val="0"/>
          <w:caps w:val="0"/>
          <w:color w:val="000000"/>
          <w:spacing w:val="0"/>
          <w:kern w:val="2"/>
          <w:sz w:val="32"/>
          <w:szCs w:val="32"/>
          <w:highlight w:val="none"/>
          <w:shd w:val="clear" w:color="auto" w:fill="auto"/>
          <w:lang w:val="en-US" w:eastAsia="zh-CN" w:bidi="ar-SA"/>
        </w:rPr>
        <w:t>铁路</w:t>
      </w:r>
      <w:r>
        <w:rPr>
          <w:rFonts w:hint="default" w:ascii="仿宋_GB2312" w:hAnsi="仿宋_GB2312" w:eastAsia="仿宋_GB2312" w:cs="仿宋_GB2312"/>
          <w:b w:val="0"/>
          <w:bCs w:val="0"/>
          <w:i w:val="0"/>
          <w:caps w:val="0"/>
          <w:color w:val="000000"/>
          <w:spacing w:val="0"/>
          <w:kern w:val="2"/>
          <w:sz w:val="32"/>
          <w:szCs w:val="32"/>
          <w:highlight w:val="none"/>
          <w:shd w:val="clear" w:color="auto" w:fill="auto"/>
          <w:lang w:eastAsia="zh-CN" w:bidi="ar-SA"/>
        </w:rPr>
        <w:t>范围内</w:t>
      </w:r>
      <w:r>
        <w:rPr>
          <w:rFonts w:hint="eastAsia" w:ascii="仿宋_GB2312" w:hAnsi="仿宋_GB2312" w:eastAsia="仿宋_GB2312" w:cs="仿宋_GB2312"/>
          <w:snapToGrid w:val="0"/>
          <w:color w:val="000000"/>
          <w:sz w:val="32"/>
          <w:szCs w:val="32"/>
          <w:highlight w:val="none"/>
          <w:shd w:val="clear" w:color="auto" w:fill="FFFFFF"/>
          <w:lang w:val="en-US" w:eastAsia="zh-CN"/>
        </w:rPr>
        <w:t>通信</w:t>
      </w:r>
      <w:r>
        <w:rPr>
          <w:rFonts w:hint="default" w:ascii="仿宋_GB2312" w:hAnsi="仿宋_GB2312" w:eastAsia="仿宋_GB2312" w:cs="仿宋_GB2312"/>
          <w:snapToGrid w:val="0"/>
          <w:color w:val="000000"/>
          <w:sz w:val="32"/>
          <w:szCs w:val="32"/>
          <w:highlight w:val="none"/>
          <w:shd w:val="clear" w:color="auto" w:fill="FFFFFF"/>
          <w:lang w:eastAsia="zh-CN"/>
        </w:rPr>
        <w:t>网络</w:t>
      </w:r>
      <w:r>
        <w:rPr>
          <w:rFonts w:hint="eastAsia" w:ascii="仿宋_GB2312" w:hAnsi="仿宋_GB2312" w:eastAsia="仿宋_GB2312" w:cs="仿宋_GB2312"/>
          <w:snapToGrid w:val="0"/>
          <w:color w:val="000000"/>
          <w:sz w:val="32"/>
          <w:szCs w:val="32"/>
          <w:highlight w:val="none"/>
          <w:shd w:val="clear" w:color="auto" w:fill="FFFFFF"/>
          <w:lang w:val="en-US" w:eastAsia="zh-CN"/>
        </w:rPr>
        <w:t>建设项目施工审批相关工作。</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四、主要任务</w:t>
      </w:r>
    </w:p>
    <w:p>
      <w:pPr>
        <w:keepNext w:val="0"/>
        <w:keepLines w:val="0"/>
        <w:pageBreakBefore w:val="0"/>
        <w:widowControl w:val="0"/>
        <w:suppressLineNumbers w:val="0"/>
        <w:kinsoku/>
        <w:wordWrap/>
        <w:overflowPunct/>
        <w:topLinePunct w:val="0"/>
        <w:bidi w:val="0"/>
        <w:snapToGrid/>
        <w:spacing w:before="0" w:beforeAutospacing="0" w:after="0" w:afterAutospacing="0" w:line="580" w:lineRule="exact"/>
        <w:ind w:left="0" w:right="0"/>
        <w:jc w:val="both"/>
        <w:textAlignment w:val="auto"/>
      </w:pPr>
      <w:r>
        <w:rPr>
          <w:rFonts w:hint="eastAsia" w:ascii="楷体_GB2312" w:hAnsi="楷体_GB2312" w:eastAsia="楷体_GB2312" w:cs="楷体_GB2312"/>
          <w:snapToGrid w:val="0"/>
          <w:color w:val="000000"/>
          <w:sz w:val="32"/>
          <w:szCs w:val="32"/>
          <w:shd w:val="clear" w:color="auto" w:fill="FFFFFF"/>
          <w:lang w:val="en-US" w:eastAsia="zh-CN"/>
        </w:rPr>
        <w:t xml:space="preserve">    （一）建设集成办服务专区。</w:t>
      </w:r>
      <w:r>
        <w:rPr>
          <w:rFonts w:hint="eastAsia" w:ascii="仿宋_GB2312" w:hAnsi="仿宋_GB2312" w:eastAsia="仿宋_GB2312" w:cs="仿宋_GB2312"/>
          <w:color w:val="000000"/>
          <w:kern w:val="2"/>
          <w:sz w:val="32"/>
          <w:szCs w:val="32"/>
          <w:highlight w:val="none"/>
          <w:lang w:val="en-US" w:eastAsia="zh-CN" w:bidi="ar-SA"/>
        </w:rPr>
        <w:t>依托“海易办”平台建设</w:t>
      </w:r>
      <w:r>
        <w:rPr>
          <w:rFonts w:hint="eastAsia" w:ascii="仿宋_GB2312" w:hAnsi="仿宋_GB2312" w:eastAsia="仿宋_GB2312" w:cs="仿宋_GB2312"/>
          <w:snapToGrid w:val="0"/>
          <w:color w:val="000000"/>
          <w:sz w:val="32"/>
          <w:szCs w:val="32"/>
          <w:highlight w:val="none"/>
          <w:shd w:val="clear" w:color="auto" w:fill="FFFFFF"/>
        </w:rPr>
        <w:t>“一件事”</w:t>
      </w:r>
      <w:r>
        <w:rPr>
          <w:rFonts w:hint="eastAsia" w:ascii="仿宋_GB2312" w:hAnsi="仿宋_GB2312" w:eastAsia="仿宋_GB2312" w:cs="仿宋_GB2312"/>
          <w:snapToGrid w:val="0"/>
          <w:color w:val="000000"/>
          <w:sz w:val="32"/>
          <w:szCs w:val="32"/>
          <w:highlight w:val="none"/>
          <w:shd w:val="clear" w:color="auto" w:fill="FFFFFF"/>
          <w:lang w:val="en-US" w:eastAsia="zh-CN"/>
        </w:rPr>
        <w:t>服务专区，联通各相关业务审批系统，根据项目申报服务全生命周期提供定制化“一类事”集成服务。</w:t>
      </w:r>
      <w:r>
        <w:rPr>
          <w:rFonts w:hint="eastAsia" w:ascii="仿宋_GB2312" w:hAnsi="Calibri" w:eastAsia="仿宋_GB2312" w:cs="仿宋_GB2312"/>
          <w:color w:val="000000"/>
          <w:kern w:val="2"/>
          <w:sz w:val="32"/>
          <w:szCs w:val="32"/>
          <w:shd w:val="clear" w:fill="FFFFFF"/>
          <w:lang w:val="en-US" w:eastAsia="zh-CN" w:bidi="ar"/>
        </w:rPr>
        <w:t>按照“一类事+一件事”服务模式，针对杆塔、机房、管道、杆路、光缆、电力等不同申报场景，分别上线“一件事”服务流程，对服务模式、标准相同相近的予以整合。结合通信基础设施规划布局需要，适时拓展海域通信基础设施报建服务内容。</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strike/>
          <w:dstrike w:val="0"/>
          <w:kern w:val="2"/>
          <w:sz w:val="32"/>
          <w:szCs w:val="32"/>
          <w:lang w:val="en-US" w:eastAsia="zh-CN" w:bidi="ar-SA"/>
        </w:rPr>
      </w:pPr>
      <w:r>
        <w:rPr>
          <w:rFonts w:hint="eastAsia" w:ascii="楷体_GB2312" w:hAnsi="楷体_GB2312" w:eastAsia="楷体_GB2312" w:cs="楷体_GB2312"/>
          <w:snapToGrid w:val="0"/>
          <w:color w:val="000000"/>
          <w:sz w:val="32"/>
          <w:szCs w:val="32"/>
          <w:shd w:val="clear" w:color="auto" w:fill="FFFFFF"/>
          <w:lang w:val="en-US" w:eastAsia="zh-CN"/>
        </w:rPr>
        <w:t>（二）开展事项集成优化。</w:t>
      </w:r>
      <w:r>
        <w:rPr>
          <w:rFonts w:hint="eastAsia" w:ascii="仿宋_GB2312" w:hAnsi="仿宋_GB2312" w:eastAsia="仿宋_GB2312" w:cs="仿宋_GB2312"/>
          <w:kern w:val="2"/>
          <w:sz w:val="32"/>
          <w:szCs w:val="32"/>
          <w:lang w:val="en-US" w:eastAsia="zh-CN" w:bidi="ar-SA"/>
        </w:rPr>
        <w:t>各部门对纳入“一件事”的清单事项实施精细化梳理，按照通信网络建设的办事情形需求，明确各事项办理部门、设定依据、受理条件、申请材料、办理时限、收费标准、办理结果、监督评价等具体内容。</w:t>
      </w:r>
      <w:r>
        <w:rPr>
          <w:rFonts w:hint="eastAsia" w:ascii="仿宋_GB2312" w:hAnsi="仿宋_GB2312" w:eastAsia="仿宋_GB2312" w:cs="仿宋_GB2312"/>
          <w:snapToGrid w:val="0"/>
          <w:color w:val="000000"/>
          <w:sz w:val="32"/>
          <w:szCs w:val="32"/>
          <w:shd w:val="clear" w:color="auto" w:fill="FFFFFF"/>
          <w:lang w:val="en-US" w:eastAsia="zh-CN"/>
        </w:rPr>
        <w:t>推进跨部门关联事项集成办理改造，</w:t>
      </w:r>
      <w:r>
        <w:rPr>
          <w:rFonts w:hint="eastAsia" w:ascii="仿宋_GB2312" w:hAnsi="仿宋_GB2312" w:eastAsia="仿宋_GB2312" w:cs="仿宋_GB2312"/>
          <w:kern w:val="2"/>
          <w:sz w:val="32"/>
          <w:szCs w:val="32"/>
          <w:lang w:val="en-US" w:eastAsia="zh-CN" w:bidi="ar-SA"/>
        </w:rPr>
        <w:t>深化各部门数据共享应用，</w:t>
      </w:r>
      <w:r>
        <w:rPr>
          <w:rFonts w:hint="eastAsia" w:ascii="仿宋_GB2312" w:hAnsi="Calibri" w:eastAsia="仿宋_GB2312" w:cs="仿宋_GB2312"/>
          <w:kern w:val="2"/>
          <w:sz w:val="32"/>
          <w:szCs w:val="32"/>
          <w:lang w:val="en-US" w:eastAsia="zh-CN" w:bidi="ar"/>
        </w:rPr>
        <w:t>合理对接具体事项前后关系，对相同证明材料和字段的避免重复提交，对可实现数据共享的避免手动提交</w:t>
      </w:r>
      <w:r>
        <w:rPr>
          <w:rFonts w:hint="eastAsia" w:ascii="仿宋_GB2312" w:eastAsia="仿宋_GB2312" w:cs="仿宋_GB2312"/>
          <w:kern w:val="2"/>
          <w:sz w:val="32"/>
          <w:szCs w:val="32"/>
          <w:lang w:val="en-US" w:eastAsia="zh-CN" w:bidi="ar"/>
        </w:rPr>
        <w:t>，</w:t>
      </w:r>
      <w:r>
        <w:rPr>
          <w:rFonts w:hint="eastAsia" w:ascii="仿宋_GB2312" w:hAnsi="仿宋_GB2312" w:eastAsia="仿宋_GB2312" w:cs="仿宋_GB2312"/>
          <w:snapToGrid w:val="0"/>
          <w:color w:val="000000"/>
          <w:sz w:val="32"/>
          <w:szCs w:val="32"/>
          <w:shd w:val="clear" w:color="auto" w:fill="FFFFFF"/>
          <w:lang w:val="en-US" w:eastAsia="zh-CN"/>
        </w:rPr>
        <w:t>压减整体办理时长和跑动次数，实现“一次告知、一表申请、一套材料、一窗（端）受理、一网办理”。</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snapToGrid w:val="0"/>
          <w:color w:val="000000"/>
          <w:sz w:val="32"/>
          <w:szCs w:val="32"/>
          <w:shd w:val="clear" w:color="auto" w:fill="FFFFFF"/>
          <w:lang w:val="en-US" w:eastAsia="zh-CN"/>
        </w:rPr>
        <w:t>（三）推进多端办理。</w:t>
      </w:r>
      <w:r>
        <w:rPr>
          <w:rFonts w:hint="eastAsia" w:ascii="仿宋_GB2312" w:hAnsi="仿宋_GB2312" w:eastAsia="仿宋_GB2312" w:cs="仿宋_GB2312"/>
          <w:kern w:val="0"/>
          <w:sz w:val="32"/>
          <w:szCs w:val="32"/>
          <w:lang w:val="en-US" w:eastAsia="zh-CN" w:bidi="ar"/>
        </w:rPr>
        <w:t>按照“线下只进一门、线上一网通办、热线一线应答”的统一入口要求，强化电脑端、移动端、窗口端、热线端等多端服务能力建设</w:t>
      </w:r>
      <w:r>
        <w:rPr>
          <w:rFonts w:hint="eastAsia" w:ascii="仿宋_GB2312" w:hAnsi="仿宋_GB2312" w:eastAsia="仿宋_GB2312" w:cs="仿宋_GB2312"/>
          <w:kern w:val="2"/>
          <w:sz w:val="32"/>
          <w:szCs w:val="32"/>
          <w:lang w:val="en-US" w:eastAsia="zh-CN" w:bidi="ar-SA"/>
        </w:rPr>
        <w:t>。线上申请的，通过“海易办”平台“一件事”收取和分送申请材料；线下申请的，各级办理窗口统一收取申请材料，通过“一件事”录入申报信息在线分送至各相关部门进行办理；“一件事”办理要点统一录入12345热线知识库，提供申报指引和在线解答。</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default" w:ascii="楷体_GB2312" w:hAnsi="楷体_GB2312" w:eastAsia="楷体_GB2312" w:cs="楷体_GB2312"/>
          <w:snapToGrid w:val="0"/>
          <w:color w:val="000000"/>
          <w:sz w:val="32"/>
          <w:szCs w:val="32"/>
          <w:highlight w:val="none"/>
          <w:shd w:val="clear" w:color="auto" w:fill="FFFFFF"/>
          <w:lang w:val="en"/>
        </w:rPr>
      </w:pPr>
      <w:r>
        <w:rPr>
          <w:rFonts w:hint="eastAsia" w:ascii="楷体_GB2312" w:hAnsi="楷体_GB2312" w:eastAsia="楷体_GB2312" w:cs="楷体_GB2312"/>
          <w:snapToGrid w:val="0"/>
          <w:color w:val="000000"/>
          <w:kern w:val="2"/>
          <w:sz w:val="32"/>
          <w:szCs w:val="32"/>
          <w:shd w:val="clear" w:color="auto" w:fill="FFFFFF"/>
          <w:lang w:val="en-US" w:eastAsia="zh-CN" w:bidi="ar-SA"/>
        </w:rPr>
        <w:t>（四）加强通信建设项目用地管理。</w:t>
      </w:r>
      <w:r>
        <w:rPr>
          <w:rFonts w:hint="eastAsia" w:ascii="仿宋_GB2312" w:hAnsi="仿宋_GB2312" w:eastAsia="仿宋_GB2312" w:cs="仿宋_GB2312"/>
          <w:kern w:val="2"/>
          <w:sz w:val="32"/>
          <w:szCs w:val="32"/>
          <w:lang w:val="en-US" w:eastAsia="zh-CN" w:bidi="ar-SA"/>
        </w:rPr>
        <w:t>新建通信网络建设项目可采取配建方式和依法取得地役权的方式使用土地。涉及新增建设用地的，依法办理用地手续。</w:t>
      </w:r>
    </w:p>
    <w:p>
      <w:pPr>
        <w:keepNext w:val="0"/>
        <w:keepLines w:val="0"/>
        <w:widowControl w:val="0"/>
        <w:suppressLineNumbers w:val="0"/>
        <w:autoSpaceDE w:val="0"/>
        <w:autoSpaceDN w:val="0"/>
        <w:adjustRightInd w:val="0"/>
        <w:spacing w:line="580" w:lineRule="exact"/>
        <w:ind w:firstLine="640" w:firstLineChars="200"/>
        <w:jc w:val="left"/>
        <w:rPr>
          <w:rFonts w:hint="eastAsia" w:ascii="仿宋_GB2312" w:hAnsi="仿宋_GB2312" w:eastAsia="仿宋_GB2312" w:cs="仿宋_GB2312"/>
          <w:b w:val="0"/>
          <w:bCs w:val="0"/>
          <w:color w:val="000000"/>
          <w:sz w:val="32"/>
          <w:szCs w:val="32"/>
          <w:highlight w:val="none"/>
        </w:rPr>
      </w:pPr>
      <w:r>
        <w:rPr>
          <w:rFonts w:hint="eastAsia" w:ascii="楷体_GB2312" w:hAnsi="楷体_GB2312" w:eastAsia="楷体_GB2312" w:cs="楷体_GB2312"/>
          <w:snapToGrid w:val="0"/>
          <w:color w:val="000000"/>
          <w:kern w:val="2"/>
          <w:sz w:val="32"/>
          <w:szCs w:val="32"/>
          <w:shd w:val="clear" w:color="auto" w:fill="FFFFFF"/>
          <w:lang w:val="en-US" w:eastAsia="zh-CN" w:bidi="ar-SA"/>
        </w:rPr>
        <w:t xml:space="preserve"> </w:t>
      </w:r>
      <w:r>
        <w:rPr>
          <w:rFonts w:hint="eastAsia" w:ascii="楷体_GB2312" w:hAnsi="楷体_GB2312" w:eastAsia="楷体_GB2312" w:cs="楷体_GB2312"/>
          <w:snapToGrid w:val="0"/>
          <w:color w:val="000000"/>
          <w:sz w:val="32"/>
          <w:szCs w:val="32"/>
          <w:shd w:val="clear" w:color="auto" w:fill="FFFFFF"/>
          <w:lang w:val="en-US" w:eastAsia="zh-CN"/>
        </w:rPr>
        <w:t>（五）强化特殊场景项目审批协调。</w:t>
      </w:r>
      <w:r>
        <w:rPr>
          <w:rFonts w:hint="eastAsia" w:ascii="仿宋_GB2312" w:hAnsi="仿宋_GB2312" w:eastAsia="仿宋_GB2312" w:cs="仿宋_GB2312"/>
          <w:b w:val="0"/>
          <w:bCs w:val="0"/>
          <w:i w:val="0"/>
          <w:caps w:val="0"/>
          <w:color w:val="000000"/>
          <w:spacing w:val="0"/>
          <w:kern w:val="2"/>
          <w:sz w:val="32"/>
          <w:szCs w:val="32"/>
          <w:highlight w:val="none"/>
          <w:shd w:val="clear" w:color="auto" w:fill="auto"/>
          <w:lang w:val="en-US" w:eastAsia="zh-CN" w:bidi="ar-SA"/>
        </w:rPr>
        <w:t>针对穿（跨）越高速公路、国道、省道、铁路或铁路电气专线、长输油气管线、</w:t>
      </w:r>
      <w:r>
        <w:rPr>
          <w:rFonts w:hint="default" w:ascii="仿宋_GB2312" w:hAnsi="仿宋_GB2312" w:eastAsia="仿宋_GB2312" w:cs="仿宋_GB2312"/>
          <w:b w:val="0"/>
          <w:bCs w:val="0"/>
          <w:i w:val="0"/>
          <w:caps w:val="0"/>
          <w:color w:val="000000"/>
          <w:spacing w:val="0"/>
          <w:kern w:val="2"/>
          <w:sz w:val="32"/>
          <w:szCs w:val="32"/>
          <w:highlight w:val="none"/>
          <w:shd w:val="clear" w:color="auto" w:fill="auto"/>
          <w:lang w:eastAsia="zh-CN" w:bidi="ar-SA"/>
        </w:rPr>
        <w:t>海域、</w:t>
      </w:r>
      <w:r>
        <w:rPr>
          <w:rFonts w:hint="eastAsia" w:ascii="仿宋_GB2312" w:hAnsi="仿宋_GB2312" w:eastAsia="仿宋_GB2312" w:cs="仿宋_GB2312"/>
          <w:b w:val="0"/>
          <w:bCs w:val="0"/>
          <w:i w:val="0"/>
          <w:caps w:val="0"/>
          <w:color w:val="000000"/>
          <w:spacing w:val="0"/>
          <w:kern w:val="2"/>
          <w:sz w:val="32"/>
          <w:szCs w:val="32"/>
          <w:highlight w:val="none"/>
          <w:shd w:val="clear" w:color="auto" w:fill="auto"/>
          <w:lang w:val="en-US" w:eastAsia="zh-CN" w:bidi="ar-SA"/>
        </w:rPr>
        <w:t>河道及水利工程管理范围、林地及国家森林公园管理范围等通信网络建设项目报建审批，需要组织联合踏勘的，按照审批权限由相应审批部门牵头，协同相关部门和经营业主联合踏勘，出具行业审查意见。</w:t>
      </w:r>
    </w:p>
    <w:p>
      <w:pPr>
        <w:pageBreakBefore w:val="0"/>
        <w:kinsoku/>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楷体_GB2312" w:hAnsi="楷体_GB2312" w:eastAsia="楷体_GB2312" w:cs="楷体_GB2312"/>
          <w:snapToGrid w:val="0"/>
          <w:color w:val="000000"/>
          <w:kern w:val="2"/>
          <w:sz w:val="32"/>
          <w:szCs w:val="32"/>
          <w:shd w:val="clear" w:color="auto" w:fill="FFFFFF"/>
          <w:lang w:val="en-US" w:eastAsia="zh-CN" w:bidi="ar-SA"/>
        </w:rPr>
        <w:t>（六）推进容缺承诺办。</w:t>
      </w:r>
      <w:r>
        <w:rPr>
          <w:rFonts w:hint="eastAsia" w:ascii="仿宋_GB2312" w:hAnsi="仿宋_GB2312" w:eastAsia="仿宋_GB2312" w:cs="仿宋_GB2312"/>
          <w:color w:val="000000"/>
          <w:kern w:val="2"/>
          <w:sz w:val="32"/>
          <w:szCs w:val="32"/>
          <w:highlight w:val="none"/>
          <w:shd w:val="clear" w:color="auto" w:fill="auto"/>
          <w:lang w:val="en-US" w:eastAsia="zh-CN" w:bidi="ar-SA"/>
        </w:rPr>
        <w:t>对符合条件的企业，探索开展资料容缺办理改革，缩短企业业务办理等待时间，推动符合条件的事项开展“告知承诺制”服务，通过一系列服务改革全面提升申请人办事获得感和满意度。</w:t>
      </w:r>
    </w:p>
    <w:p>
      <w:pPr>
        <w:pageBreakBefore w:val="0"/>
        <w:numPr>
          <w:ilvl w:val="0"/>
          <w:numId w:val="0"/>
        </w:numPr>
        <w:kinsoku/>
        <w:overflowPunct/>
        <w:topLinePunct w:val="0"/>
        <w:bidi w:val="0"/>
        <w:snapToGrid/>
        <w:spacing w:line="580" w:lineRule="exact"/>
        <w:ind w:firstLine="640" w:firstLineChars="200"/>
        <w:textAlignment w:val="auto"/>
        <w:outlineLvl w:val="1"/>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snapToGrid w:val="0"/>
          <w:color w:val="000000"/>
          <w:sz w:val="32"/>
          <w:szCs w:val="32"/>
          <w:shd w:val="clear" w:color="auto" w:fill="FFFFFF"/>
          <w:lang w:val="en-US" w:eastAsia="zh-CN"/>
        </w:rPr>
        <w:t>（七）拓展增值服务。</w:t>
      </w:r>
      <w:r>
        <w:rPr>
          <w:rFonts w:hint="eastAsia" w:ascii="仿宋_GB2312" w:hAnsi="仿宋_GB2312" w:eastAsia="仿宋_GB2312" w:cs="仿宋_GB2312"/>
          <w:kern w:val="2"/>
          <w:sz w:val="32"/>
          <w:szCs w:val="32"/>
          <w:lang w:val="en-US" w:eastAsia="zh-CN" w:bidi="ar-SA"/>
        </w:rPr>
        <w:t>各市县营商环境建设</w:t>
      </w:r>
      <w:r>
        <w:rPr>
          <w:rFonts w:hint="eastAsia" w:ascii="仿宋_GB2312" w:hAnsi="仿宋_GB2312" w:eastAsia="仿宋_GB2312" w:cs="仿宋_GB2312"/>
          <w:b w:val="0"/>
          <w:bCs w:val="0"/>
          <w:kern w:val="2"/>
          <w:sz w:val="32"/>
          <w:szCs w:val="32"/>
          <w:lang w:val="en-US" w:eastAsia="zh-CN" w:bidi="ar-SA"/>
        </w:rPr>
        <w:t>部门</w:t>
      </w:r>
      <w:r>
        <w:rPr>
          <w:rFonts w:hint="eastAsia" w:ascii="仿宋_GB2312" w:hAnsi="仿宋_GB2312" w:eastAsia="仿宋_GB2312" w:cs="仿宋_GB2312"/>
          <w:kern w:val="2"/>
          <w:sz w:val="32"/>
          <w:szCs w:val="32"/>
          <w:lang w:val="en-US" w:eastAsia="zh-CN" w:bidi="ar-SA"/>
        </w:rPr>
        <w:t>加强帮办代办服务，在政务服务大厅对有申办需求的申请人提供帮办代办或申报指导。优化“海易办”平台智能搜索及智能客服服务体系，多方式提供“一件事”关联检索，并将有关办理信息录入智能客服提供解答，对申请人在线提出办理咨询诉求的，系统自动派发至属地帮办代办窗口主动对接服务。</w:t>
      </w:r>
    </w:p>
    <w:p>
      <w:pPr>
        <w:pageBreakBefore w:val="0"/>
        <w:kinsoku/>
        <w:overflowPunct/>
        <w:topLinePunct w:val="0"/>
        <w:autoSpaceDE w:val="0"/>
        <w:autoSpaceDN w:val="0"/>
        <w:bidi w:val="0"/>
        <w:adjustRightInd w:val="0"/>
        <w:snapToGrid/>
        <w:spacing w:line="580" w:lineRule="exact"/>
        <w:ind w:firstLine="640" w:firstLineChars="200"/>
        <w:jc w:val="both"/>
        <w:textAlignment w:val="auto"/>
      </w:pPr>
      <w:r>
        <w:rPr>
          <w:rFonts w:hint="eastAsia" w:ascii="楷体_GB2312" w:hAnsi="楷体_GB2312" w:eastAsia="楷体_GB2312" w:cs="楷体_GB2312"/>
          <w:snapToGrid w:val="0"/>
          <w:color w:val="000000"/>
          <w:kern w:val="2"/>
          <w:sz w:val="32"/>
          <w:szCs w:val="32"/>
          <w:shd w:val="clear" w:color="auto" w:fill="FFFFFF"/>
          <w:lang w:val="en-US" w:eastAsia="zh-CN" w:bidi="ar-SA"/>
        </w:rPr>
        <w:t>（八）强化审管衔接。</w:t>
      </w:r>
      <w:r>
        <w:rPr>
          <w:rFonts w:hint="eastAsia" w:ascii="仿宋_GB2312" w:hAnsi="仿宋_GB2312" w:eastAsia="仿宋_GB2312" w:cs="仿宋_GB2312"/>
          <w:color w:val="000000"/>
          <w:kern w:val="2"/>
          <w:sz w:val="32"/>
          <w:szCs w:val="32"/>
          <w:highlight w:val="none"/>
          <w:lang w:val="en-US" w:eastAsia="zh-CN" w:bidi="ar-SA"/>
        </w:rPr>
        <w:t>建立事前信用预警机制，对申请人信用状况进行核查，按照“海易办”平台现行信用等级审批制度进行申报前管理，加强事前风险防控。在同一申报周期内行政审批事项涉及现场核查的，及时响应并联合踏勘核查、反馈意见。加强审批服务、监管执法和信用管理协同联动，行政审批结果在线共享至本级行业主管部门和综合行政执法部门。书面承诺履约情况记入信用记录，作为事中、事后监管的重要依据。对在核查或者日常监管中发现承诺不实的，行政机关要依法终止办理、责令限期整改、撤销行政决定或者予以行政处罚，并纳入信用记录。</w:t>
      </w:r>
    </w:p>
    <w:p>
      <w:pPr>
        <w:pageBreakBefore w:val="0"/>
        <w:kinsoku/>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snapToGrid w:val="0"/>
          <w:color w:val="000000"/>
          <w:kern w:val="2"/>
          <w:sz w:val="32"/>
          <w:szCs w:val="32"/>
          <w:highlight w:val="none"/>
          <w:shd w:val="clear" w:color="auto" w:fill="FFFFFF"/>
          <w:lang w:val="en-US" w:eastAsia="zh-CN"/>
        </w:rPr>
        <w:t>（九）探索推行应急保障项目备案制。</w:t>
      </w:r>
      <w:r>
        <w:rPr>
          <w:rFonts w:hint="eastAsia" w:ascii="仿宋_GB2312" w:hAnsi="仿宋_GB2312" w:eastAsia="仿宋_GB2312" w:cs="仿宋_GB2312"/>
          <w:snapToGrid w:val="0"/>
          <w:color w:val="000000"/>
          <w:sz w:val="32"/>
          <w:szCs w:val="32"/>
          <w:highlight w:val="none"/>
          <w:shd w:val="clear" w:color="auto" w:fill="FFFFFF"/>
        </w:rPr>
        <w:t>通信网络建设项目涉及</w:t>
      </w:r>
      <w:r>
        <w:rPr>
          <w:rFonts w:ascii="仿宋_GB2312" w:hAnsi="仿宋_GB2312" w:eastAsia="仿宋_GB2312" w:cs="仿宋_GB2312"/>
          <w:color w:val="000000"/>
          <w:kern w:val="0"/>
          <w:sz w:val="32"/>
          <w:szCs w:val="32"/>
          <w:highlight w:val="none"/>
        </w:rPr>
        <w:t>防汛防风抗灾能力提升建设等防灾减灾类项目急需使用土地的</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b w:val="0"/>
          <w:bCs w:val="0"/>
          <w:color w:val="000000"/>
          <w:kern w:val="0"/>
          <w:sz w:val="32"/>
          <w:szCs w:val="32"/>
          <w:highlight w:val="none"/>
          <w:lang w:val="en-US" w:eastAsia="zh-CN"/>
        </w:rPr>
        <w:t>各地可以在法律法规范围内，</w:t>
      </w:r>
      <w:r>
        <w:rPr>
          <w:rFonts w:hint="eastAsia" w:ascii="仿宋_GB2312" w:hAnsi="仿宋_GB2312" w:eastAsia="仿宋_GB2312" w:cs="仿宋_GB2312"/>
          <w:color w:val="000000"/>
          <w:kern w:val="0"/>
          <w:sz w:val="32"/>
          <w:szCs w:val="32"/>
          <w:highlight w:val="none"/>
          <w:lang w:val="en-US" w:eastAsia="zh-CN"/>
        </w:rPr>
        <w:t>探索</w:t>
      </w:r>
      <w:r>
        <w:rPr>
          <w:rFonts w:hint="eastAsia" w:ascii="仿宋_GB2312" w:hAnsi="仿宋_GB2312" w:eastAsia="仿宋_GB2312" w:cs="仿宋_GB2312"/>
          <w:snapToGrid w:val="0"/>
          <w:color w:val="000000"/>
          <w:sz w:val="32"/>
          <w:szCs w:val="32"/>
          <w:highlight w:val="none"/>
          <w:shd w:val="clear" w:color="auto" w:fill="FFFFFF"/>
        </w:rPr>
        <w:t>由项目建设单位签订安全保障承诺书和复原承诺书（或赔偿标准）</w:t>
      </w:r>
      <w:r>
        <w:rPr>
          <w:rFonts w:hint="eastAsia" w:ascii="仿宋_GB2312" w:hAnsi="仿宋_GB2312" w:eastAsia="仿宋_GB2312" w:cs="仿宋_GB2312"/>
          <w:b w:val="0"/>
          <w:bCs w:val="0"/>
          <w:snapToGrid w:val="0"/>
          <w:color w:val="000000"/>
          <w:sz w:val="32"/>
          <w:szCs w:val="32"/>
          <w:highlight w:val="none"/>
          <w:shd w:val="clear" w:color="auto" w:fill="FFFFFF"/>
          <w:lang w:eastAsia="zh-CN"/>
        </w:rPr>
        <w:t>后即可</w:t>
      </w:r>
      <w:r>
        <w:rPr>
          <w:rFonts w:hint="eastAsia" w:ascii="仿宋_GB2312" w:hAnsi="仿宋_GB2312" w:eastAsia="仿宋_GB2312" w:cs="仿宋_GB2312"/>
          <w:snapToGrid w:val="0"/>
          <w:color w:val="000000"/>
          <w:sz w:val="32"/>
          <w:szCs w:val="32"/>
          <w:highlight w:val="none"/>
          <w:shd w:val="clear" w:color="auto" w:fill="FFFFFF"/>
        </w:rPr>
        <w:t>组织施工，相关管理部门进行事中事后监督。</w:t>
      </w:r>
    </w:p>
    <w:p>
      <w:pPr>
        <w:pageBreakBefore w:val="0"/>
        <w:kinsoku/>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五、预期成效</w:t>
      </w:r>
    </w:p>
    <w:p>
      <w:pPr>
        <w:pageBreakBefore w:val="0"/>
        <w:kinsoku/>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snapToGrid w:val="0"/>
          <w:color w:val="000000"/>
          <w:sz w:val="32"/>
          <w:szCs w:val="32"/>
          <w:shd w:val="clear" w:color="auto" w:fill="FFFFFF"/>
        </w:rPr>
      </w:pPr>
      <w:r>
        <w:rPr>
          <w:rFonts w:hint="eastAsia" w:ascii="楷体_GB2312" w:hAnsi="楷体_GB2312" w:eastAsia="楷体_GB2312" w:cs="楷体_GB2312"/>
          <w:snapToGrid w:val="0"/>
          <w:color w:val="000000"/>
          <w:sz w:val="32"/>
          <w:szCs w:val="32"/>
          <w:shd w:val="clear" w:color="auto" w:fill="FFFFFF"/>
          <w:lang w:val="en-US" w:eastAsia="zh-CN"/>
        </w:rPr>
        <w:t>（一）办理时限大幅度缩短。</w:t>
      </w:r>
      <w:r>
        <w:rPr>
          <w:rFonts w:hint="eastAsia" w:ascii="仿宋_GB2312" w:hAnsi="仿宋_GB2312" w:eastAsia="仿宋_GB2312" w:cs="仿宋_GB2312"/>
          <w:snapToGrid w:val="0"/>
          <w:color w:val="000000"/>
          <w:sz w:val="32"/>
          <w:szCs w:val="32"/>
          <w:shd w:val="clear" w:color="auto" w:fill="FFFFFF"/>
        </w:rPr>
        <w:t>通过审批流程再造、数据赋能和业务创新，分情形实施并联审批，精简项目申报手续，强化在线审批联动，办理时限</w:t>
      </w:r>
      <w:r>
        <w:rPr>
          <w:rFonts w:hint="eastAsia" w:ascii="仿宋_GB2312" w:hAnsi="仿宋_GB2312" w:eastAsia="仿宋_GB2312" w:cs="仿宋_GB2312"/>
          <w:snapToGrid w:val="0"/>
          <w:color w:val="000000"/>
          <w:sz w:val="32"/>
          <w:szCs w:val="32"/>
          <w:shd w:val="clear" w:color="auto" w:fill="FFFFFF"/>
          <w:lang w:eastAsia="zh-CN"/>
        </w:rPr>
        <w:t>大幅度缩短</w:t>
      </w:r>
      <w:r>
        <w:rPr>
          <w:rFonts w:hint="eastAsia" w:ascii="仿宋_GB2312" w:hAnsi="仿宋_GB2312" w:eastAsia="仿宋_GB2312" w:cs="仿宋_GB2312"/>
          <w:snapToGrid w:val="0"/>
          <w:color w:val="000000"/>
          <w:sz w:val="32"/>
          <w:szCs w:val="32"/>
          <w:shd w:val="clear" w:color="auto" w:fill="FFFFFF"/>
        </w:rPr>
        <w:t>。</w:t>
      </w:r>
    </w:p>
    <w:p>
      <w:pPr>
        <w:pageBreakBefore w:val="0"/>
        <w:kinsoku/>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snapToGrid w:val="0"/>
          <w:color w:val="000000"/>
          <w:sz w:val="32"/>
          <w:szCs w:val="32"/>
          <w:shd w:val="clear" w:color="auto" w:fill="FFFFFF"/>
        </w:rPr>
      </w:pPr>
      <w:r>
        <w:rPr>
          <w:rFonts w:hint="eastAsia" w:ascii="楷体_GB2312" w:hAnsi="楷体_GB2312" w:eastAsia="楷体_GB2312" w:cs="楷体_GB2312"/>
          <w:snapToGrid w:val="0"/>
          <w:color w:val="000000"/>
          <w:sz w:val="32"/>
          <w:szCs w:val="32"/>
          <w:shd w:val="clear" w:color="auto" w:fill="FFFFFF"/>
          <w:lang w:val="en-US" w:eastAsia="zh-CN"/>
        </w:rPr>
        <w:t>（二）业务流转顺畅高效。</w:t>
      </w:r>
      <w:r>
        <w:rPr>
          <w:rFonts w:hint="eastAsia" w:ascii="仿宋_GB2312" w:hAnsi="仿宋_GB2312" w:eastAsia="仿宋_GB2312" w:cs="仿宋_GB2312"/>
          <w:snapToGrid w:val="0"/>
          <w:color w:val="000000"/>
          <w:sz w:val="32"/>
          <w:szCs w:val="32"/>
          <w:shd w:val="clear" w:color="auto" w:fill="FFFFFF"/>
        </w:rPr>
        <w:t>实现部门业务整合、线上线下融合、前后台业务协同，业务办理由“多地、多窗、多次”向“一地、一窗、一次”转变，提供电脑端、移动端、窗口端等咨询办理。</w:t>
      </w:r>
    </w:p>
    <w:p>
      <w:pPr>
        <w:pageBreakBefore w:val="0"/>
        <w:kinsoku/>
        <w:overflowPunct/>
        <w:topLinePunct w:val="0"/>
        <w:autoSpaceDE w:val="0"/>
        <w:autoSpaceDN w:val="0"/>
        <w:bidi w:val="0"/>
        <w:adjustRightInd w:val="0"/>
        <w:snapToGrid/>
        <w:spacing w:line="580" w:lineRule="exact"/>
        <w:ind w:firstLine="640" w:firstLineChars="200"/>
        <w:textAlignment w:val="auto"/>
        <w:rPr>
          <w:rFonts w:hint="default" w:ascii="仿宋_GB2312" w:hAnsi="仿宋_GB2312" w:eastAsia="仿宋_GB2312" w:cs="仿宋_GB2312"/>
          <w:snapToGrid w:val="0"/>
          <w:color w:val="000000"/>
          <w:kern w:val="2"/>
          <w:sz w:val="32"/>
          <w:szCs w:val="32"/>
          <w:shd w:val="clear" w:color="auto" w:fill="FFFFFF"/>
          <w:lang w:val="en-US" w:eastAsia="zh-CN" w:bidi="ar-SA"/>
        </w:rPr>
      </w:pPr>
      <w:r>
        <w:rPr>
          <w:rFonts w:hint="eastAsia" w:ascii="楷体_GB2312" w:hAnsi="楷体_GB2312" w:eastAsia="楷体_GB2312" w:cs="楷体_GB2312"/>
          <w:snapToGrid w:val="0"/>
          <w:color w:val="000000"/>
          <w:sz w:val="32"/>
          <w:szCs w:val="32"/>
          <w:shd w:val="clear" w:color="auto" w:fill="FFFFFF"/>
          <w:lang w:val="en-US" w:eastAsia="zh-CN"/>
        </w:rPr>
        <w:t>（三）管理监测实现闭环。</w:t>
      </w:r>
      <w:r>
        <w:rPr>
          <w:rFonts w:hint="eastAsia" w:ascii="仿宋_GB2312" w:hAnsi="仿宋_GB2312" w:eastAsia="仿宋_GB2312" w:cs="仿宋_GB2312"/>
          <w:snapToGrid w:val="0"/>
          <w:color w:val="000000"/>
          <w:sz w:val="32"/>
          <w:szCs w:val="32"/>
          <w:shd w:val="clear" w:color="auto" w:fill="FFFFFF"/>
        </w:rPr>
        <w:t>依托“海易办”平台建立全流程审批效能监测机制</w:t>
      </w:r>
      <w:r>
        <w:rPr>
          <w:rFonts w:hint="eastAsia" w:ascii="仿宋_GB2312" w:hAnsi="仿宋_GB2312" w:eastAsia="仿宋_GB2312" w:cs="仿宋_GB2312"/>
          <w:snapToGrid w:val="0"/>
          <w:color w:val="000000"/>
          <w:sz w:val="32"/>
          <w:szCs w:val="32"/>
          <w:shd w:val="clear" w:color="auto" w:fill="FFFFFF"/>
          <w:lang w:eastAsia="zh-CN"/>
        </w:rPr>
        <w:t>，</w:t>
      </w:r>
      <w:r>
        <w:rPr>
          <w:rFonts w:hint="eastAsia" w:ascii="仿宋_GB2312" w:hAnsi="仿宋_GB2312" w:eastAsia="仿宋_GB2312" w:cs="仿宋_GB2312"/>
          <w:snapToGrid w:val="0"/>
          <w:color w:val="000000"/>
          <w:sz w:val="32"/>
          <w:szCs w:val="32"/>
          <w:shd w:val="clear" w:color="auto" w:fill="FFFFFF"/>
        </w:rPr>
        <w:t>在线监测业务审批时效，及时提醒督办未按时限要求办理的办件。通过12345热线、</w:t>
      </w:r>
      <w:r>
        <w:rPr>
          <w:rFonts w:hint="eastAsia" w:ascii="仿宋_GB2312" w:hAnsi="仿宋_GB2312" w:eastAsia="仿宋_GB2312" w:cs="仿宋_GB2312"/>
          <w:snapToGrid w:val="0"/>
          <w:color w:val="000000"/>
          <w:sz w:val="32"/>
          <w:szCs w:val="32"/>
          <w:shd w:val="clear" w:color="auto" w:fill="FFFFFF"/>
          <w:lang w:eastAsia="zh-CN"/>
        </w:rPr>
        <w:t>“</w:t>
      </w:r>
      <w:r>
        <w:rPr>
          <w:rFonts w:hint="eastAsia" w:ascii="仿宋_GB2312" w:hAnsi="仿宋_GB2312" w:eastAsia="仿宋_GB2312" w:cs="仿宋_GB2312"/>
          <w:snapToGrid w:val="0"/>
          <w:color w:val="000000"/>
          <w:sz w:val="32"/>
          <w:szCs w:val="32"/>
          <w:shd w:val="clear" w:color="auto" w:fill="FFFFFF"/>
        </w:rPr>
        <w:t>我陪群众走流程</w:t>
      </w:r>
      <w:r>
        <w:rPr>
          <w:rFonts w:hint="eastAsia" w:ascii="仿宋_GB2312" w:hAnsi="仿宋_GB2312" w:eastAsia="仿宋_GB2312" w:cs="仿宋_GB2312"/>
          <w:snapToGrid w:val="0"/>
          <w:color w:val="000000"/>
          <w:sz w:val="32"/>
          <w:szCs w:val="32"/>
          <w:shd w:val="clear" w:color="auto" w:fill="FFFFFF"/>
          <w:lang w:eastAsia="zh-CN"/>
        </w:rPr>
        <w:t>”</w:t>
      </w:r>
      <w:r>
        <w:rPr>
          <w:rFonts w:hint="eastAsia" w:ascii="仿宋_GB2312" w:hAnsi="仿宋_GB2312" w:eastAsia="仿宋_GB2312" w:cs="仿宋_GB2312"/>
          <w:snapToGrid w:val="0"/>
          <w:color w:val="000000"/>
          <w:sz w:val="32"/>
          <w:szCs w:val="32"/>
          <w:shd w:val="clear" w:color="auto" w:fill="FFFFFF"/>
        </w:rPr>
        <w:t>等方式，及时发现问题、疏通堵点。加强审批、监管、执法、信用联动管理，</w:t>
      </w:r>
      <w:r>
        <w:rPr>
          <w:rFonts w:hint="eastAsia" w:ascii="仿宋_GB2312" w:hAnsi="仿宋_GB2312" w:eastAsia="仿宋_GB2312" w:cs="仿宋_GB2312"/>
          <w:snapToGrid w:val="0"/>
          <w:color w:val="000000"/>
          <w:sz w:val="32"/>
          <w:szCs w:val="32"/>
          <w:shd w:val="clear" w:color="auto" w:fill="FFFFFF"/>
          <w:lang w:eastAsia="zh-CN"/>
        </w:rPr>
        <w:t>行政审批部门和事中事后监管部门及时共享互通</w:t>
      </w:r>
      <w:r>
        <w:rPr>
          <w:rFonts w:hint="eastAsia" w:ascii="仿宋_GB2312" w:hAnsi="仿宋_GB2312" w:eastAsia="仿宋_GB2312" w:cs="仿宋_GB2312"/>
          <w:snapToGrid w:val="0"/>
          <w:color w:val="000000"/>
          <w:sz w:val="32"/>
          <w:szCs w:val="32"/>
          <w:shd w:val="clear" w:color="auto" w:fill="FFFFFF"/>
        </w:rPr>
        <w:t>审批结果和监管结果。</w:t>
      </w:r>
    </w:p>
    <w:p>
      <w:pPr>
        <w:pageBreakBefore w:val="0"/>
        <w:kinsoku/>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六、时间安排</w:t>
      </w:r>
    </w:p>
    <w:p>
      <w:pPr>
        <w:keepNext w:val="0"/>
        <w:keepLines w:val="0"/>
        <w:widowControl/>
        <w:suppressLineNumbers w:val="0"/>
        <w:autoSpaceDE w:val="0"/>
        <w:autoSpaceDN w:val="0"/>
        <w:adjustRightInd w:val="0"/>
        <w:spacing w:line="580" w:lineRule="exact"/>
        <w:ind w:firstLine="640" w:firstLineChars="200"/>
        <w:jc w:val="left"/>
        <w:rPr>
          <w:rFonts w:hint="eastAsia" w:ascii="仿宋_GB2312" w:hAnsi="仿宋_GB2312" w:eastAsia="仿宋_GB2312" w:cs="仿宋_GB2312"/>
          <w:snapToGrid w:val="0"/>
          <w:color w:val="000000"/>
          <w:sz w:val="32"/>
          <w:szCs w:val="32"/>
          <w:shd w:val="clear" w:color="auto" w:fill="FFFFFF"/>
        </w:rPr>
      </w:pPr>
      <w:r>
        <w:rPr>
          <w:rFonts w:hint="eastAsia" w:ascii="楷体_GB2312" w:hAnsi="楷体_GB2312" w:eastAsia="楷体_GB2312" w:cs="楷体_GB2312"/>
          <w:snapToGrid w:val="0"/>
          <w:color w:val="000000"/>
          <w:sz w:val="32"/>
          <w:szCs w:val="32"/>
          <w:shd w:val="clear" w:color="auto" w:fill="FFFFFF"/>
          <w:lang w:val="en-US" w:eastAsia="zh-CN"/>
        </w:rPr>
        <w:t>（一）攻坚开发阶段（2025年12月底前）。</w:t>
      </w:r>
      <w:r>
        <w:rPr>
          <w:rFonts w:hint="eastAsia" w:ascii="仿宋_GB2312" w:hAnsi="仿宋_GB2312" w:eastAsia="仿宋_GB2312" w:cs="仿宋_GB2312"/>
          <w:snapToGrid w:val="0"/>
          <w:color w:val="000000"/>
          <w:kern w:val="2"/>
          <w:sz w:val="32"/>
          <w:szCs w:val="32"/>
          <w:shd w:val="clear" w:color="auto" w:fill="FFFFFF"/>
          <w:lang w:val="en-US" w:eastAsia="zh-CN" w:bidi="ar-SA"/>
        </w:rPr>
        <w:t>依托“海易办”平台完成</w:t>
      </w:r>
      <w:r>
        <w:rPr>
          <w:rFonts w:hint="eastAsia" w:ascii="仿宋_GB2312" w:hAnsi="仿宋_GB2312" w:eastAsia="仿宋_GB2312" w:cs="仿宋_GB2312"/>
          <w:snapToGrid w:val="0"/>
          <w:color w:val="000000"/>
          <w:sz w:val="32"/>
          <w:szCs w:val="32"/>
          <w:shd w:val="clear" w:color="auto" w:fill="FFFFFF"/>
        </w:rPr>
        <w:t>“一件事”</w:t>
      </w:r>
      <w:r>
        <w:rPr>
          <w:rFonts w:hint="eastAsia" w:ascii="仿宋_GB2312" w:hAnsi="仿宋_GB2312" w:eastAsia="仿宋_GB2312" w:cs="仿宋_GB2312"/>
          <w:snapToGrid w:val="0"/>
          <w:color w:val="000000"/>
          <w:sz w:val="32"/>
          <w:szCs w:val="32"/>
          <w:shd w:val="clear" w:color="auto" w:fill="FFFFFF"/>
          <w:lang w:val="en-US" w:eastAsia="zh-CN"/>
        </w:rPr>
        <w:t>服务专区搭建，</w:t>
      </w:r>
      <w:r>
        <w:rPr>
          <w:rFonts w:hint="eastAsia" w:ascii="仿宋_GB2312" w:hAnsi="仿宋_GB2312" w:eastAsia="仿宋_GB2312" w:cs="仿宋_GB2312"/>
          <w:i w:val="0"/>
          <w:caps w:val="0"/>
          <w:snapToGrid w:val="0"/>
          <w:color w:val="000000"/>
          <w:spacing w:val="0"/>
          <w:kern w:val="2"/>
          <w:sz w:val="32"/>
          <w:szCs w:val="32"/>
          <w:shd w:val="clear" w:color="auto" w:fill="FFFFFF"/>
          <w:lang w:val="en-US" w:eastAsia="zh-CN" w:bidi="ar"/>
        </w:rPr>
        <w:t>开展“一件事”涉及事项精细化梳理、业务流程改造、系统开发、办事指南编制等工作。</w:t>
      </w:r>
    </w:p>
    <w:p>
      <w:pPr>
        <w:pageBreakBefore w:val="0"/>
        <w:kinsoku/>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snapToGrid w:val="0"/>
          <w:color w:val="000000"/>
          <w:sz w:val="32"/>
          <w:szCs w:val="32"/>
          <w:shd w:val="clear" w:color="auto" w:fill="FFFFFF"/>
        </w:rPr>
      </w:pPr>
      <w:r>
        <w:rPr>
          <w:rFonts w:hint="eastAsia" w:ascii="楷体_GB2312" w:hAnsi="楷体_GB2312" w:eastAsia="楷体_GB2312" w:cs="楷体_GB2312"/>
          <w:snapToGrid w:val="0"/>
          <w:color w:val="000000"/>
          <w:sz w:val="32"/>
          <w:szCs w:val="32"/>
          <w:shd w:val="clear" w:color="auto" w:fill="FFFFFF"/>
          <w:lang w:val="en-US" w:eastAsia="zh-CN"/>
        </w:rPr>
        <w:t>（二）上线运行阶段（2026年2月底前）。</w:t>
      </w:r>
      <w:r>
        <w:rPr>
          <w:rFonts w:hint="eastAsia" w:ascii="仿宋_GB2312" w:hAnsi="仿宋_GB2312" w:eastAsia="仿宋_GB2312" w:cs="仿宋_GB2312"/>
          <w:snapToGrid w:val="0"/>
          <w:color w:val="000000"/>
          <w:sz w:val="32"/>
          <w:szCs w:val="32"/>
          <w:shd w:val="clear" w:color="auto" w:fill="FFFFFF"/>
          <w:lang w:val="en-US" w:eastAsia="zh-CN"/>
        </w:rPr>
        <w:t>完成</w:t>
      </w:r>
      <w:r>
        <w:rPr>
          <w:rFonts w:hint="eastAsia" w:ascii="仿宋_GB2312" w:hAnsi="仿宋_GB2312" w:eastAsia="仿宋_GB2312" w:cs="仿宋_GB2312"/>
          <w:snapToGrid w:val="0"/>
          <w:color w:val="000000"/>
          <w:sz w:val="32"/>
          <w:szCs w:val="32"/>
          <w:shd w:val="clear" w:color="auto" w:fill="FFFFFF"/>
        </w:rPr>
        <w:t>杆塔、机房等</w:t>
      </w:r>
      <w:r>
        <w:rPr>
          <w:rFonts w:hint="eastAsia" w:ascii="仿宋_GB2312" w:hAnsi="仿宋_GB2312" w:eastAsia="仿宋_GB2312" w:cs="仿宋_GB2312"/>
          <w:snapToGrid w:val="0"/>
          <w:color w:val="000000"/>
          <w:sz w:val="32"/>
          <w:szCs w:val="32"/>
          <w:shd w:val="clear" w:color="auto" w:fill="FFFFFF"/>
          <w:lang w:val="en-US" w:eastAsia="zh-CN"/>
        </w:rPr>
        <w:t>重点场景、高频场景申报“一件事”系统建设工作并上线</w:t>
      </w:r>
      <w:r>
        <w:rPr>
          <w:rFonts w:hint="eastAsia" w:ascii="仿宋_GB2312" w:hAnsi="仿宋_GB2312" w:eastAsia="仿宋_GB2312" w:cs="仿宋_GB2312"/>
          <w:snapToGrid w:val="0"/>
          <w:color w:val="000000"/>
          <w:sz w:val="32"/>
          <w:szCs w:val="32"/>
          <w:shd w:val="clear" w:color="auto" w:fill="FFFFFF"/>
        </w:rPr>
        <w:t>试运行，进行多端验证，排查并优化</w:t>
      </w:r>
      <w:r>
        <w:rPr>
          <w:rFonts w:hint="eastAsia" w:ascii="仿宋_GB2312" w:hAnsi="仿宋_GB2312" w:eastAsia="仿宋_GB2312" w:cs="仿宋_GB2312"/>
          <w:b w:val="0"/>
          <w:bCs w:val="0"/>
          <w:snapToGrid w:val="0"/>
          <w:color w:val="000000"/>
          <w:sz w:val="32"/>
          <w:szCs w:val="32"/>
          <w:shd w:val="clear" w:color="auto" w:fill="FFFFFF"/>
        </w:rPr>
        <w:t>“一件事”试</w:t>
      </w:r>
      <w:r>
        <w:rPr>
          <w:rFonts w:hint="eastAsia" w:ascii="仿宋_GB2312" w:hAnsi="仿宋_GB2312" w:eastAsia="仿宋_GB2312" w:cs="仿宋_GB2312"/>
          <w:snapToGrid w:val="0"/>
          <w:color w:val="000000"/>
          <w:sz w:val="32"/>
          <w:szCs w:val="32"/>
          <w:shd w:val="clear" w:color="auto" w:fill="FFFFFF"/>
        </w:rPr>
        <w:t>运行中出现的问题，提升服务质量。</w:t>
      </w:r>
    </w:p>
    <w:p>
      <w:pPr>
        <w:pageBreakBefore w:val="0"/>
        <w:kinsoku/>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snapToGrid w:val="0"/>
          <w:color w:val="000000"/>
          <w:sz w:val="32"/>
          <w:szCs w:val="32"/>
          <w:shd w:val="clear" w:color="auto" w:fill="FFFFFF"/>
        </w:rPr>
      </w:pPr>
      <w:r>
        <w:rPr>
          <w:rFonts w:hint="eastAsia" w:ascii="楷体_GB2312" w:hAnsi="楷体_GB2312" w:eastAsia="楷体_GB2312" w:cs="楷体_GB2312"/>
          <w:snapToGrid w:val="0"/>
          <w:color w:val="000000"/>
          <w:sz w:val="32"/>
          <w:szCs w:val="32"/>
          <w:shd w:val="clear" w:color="auto" w:fill="FFFFFF"/>
          <w:lang w:val="en-US" w:eastAsia="zh-CN"/>
        </w:rPr>
        <w:t>（三）全面建成阶段（2026年3月底前）。</w:t>
      </w:r>
      <w:r>
        <w:rPr>
          <w:rFonts w:hint="eastAsia" w:ascii="仿宋_GB2312" w:hAnsi="仿宋_GB2312" w:eastAsia="仿宋_GB2312" w:cs="仿宋_GB2312"/>
          <w:snapToGrid w:val="0"/>
          <w:color w:val="000000"/>
          <w:sz w:val="32"/>
          <w:szCs w:val="32"/>
          <w:shd w:val="clear" w:color="auto" w:fill="FFFFFF"/>
          <w:lang w:val="en-US" w:eastAsia="zh-CN"/>
        </w:rPr>
        <w:t>完成</w:t>
      </w:r>
      <w:r>
        <w:rPr>
          <w:rFonts w:hint="eastAsia" w:ascii="仿宋_GB2312" w:hAnsi="仿宋_GB2312" w:eastAsia="仿宋_GB2312" w:cs="仿宋_GB2312"/>
          <w:snapToGrid w:val="0"/>
          <w:color w:val="000000"/>
          <w:sz w:val="32"/>
          <w:szCs w:val="32"/>
          <w:shd w:val="clear" w:color="auto" w:fill="FFFFFF"/>
        </w:rPr>
        <w:t>杆塔、机房、管道、杆路、光缆、电力等</w:t>
      </w:r>
      <w:r>
        <w:rPr>
          <w:rFonts w:hint="eastAsia" w:ascii="仿宋_GB2312" w:hAnsi="仿宋_GB2312" w:eastAsia="仿宋_GB2312" w:cs="仿宋_GB2312"/>
          <w:snapToGrid w:val="0"/>
          <w:color w:val="000000"/>
          <w:sz w:val="32"/>
          <w:szCs w:val="32"/>
          <w:shd w:val="clear" w:color="auto" w:fill="FFFFFF"/>
          <w:lang w:val="en-US" w:eastAsia="zh-CN"/>
        </w:rPr>
        <w:t>不同申报场景“一件事”建设工作并上线试运行</w:t>
      </w:r>
      <w:r>
        <w:rPr>
          <w:rFonts w:hint="eastAsia" w:ascii="仿宋_GB2312" w:hAnsi="仿宋_GB2312" w:eastAsia="仿宋_GB2312" w:cs="仿宋_GB2312"/>
          <w:snapToGrid w:val="0"/>
          <w:color w:val="000000"/>
          <w:sz w:val="32"/>
          <w:szCs w:val="32"/>
          <w:shd w:val="clear" w:color="auto" w:fill="FFFFFF"/>
        </w:rPr>
        <w:t>。</w:t>
      </w:r>
    </w:p>
    <w:p>
      <w:pPr>
        <w:keepNext w:val="0"/>
        <w:keepLines w:val="0"/>
        <w:widowControl/>
        <w:suppressLineNumbers w:val="0"/>
        <w:autoSpaceDE w:val="0"/>
        <w:autoSpaceDN w:val="0"/>
        <w:adjustRightInd w:val="0"/>
        <w:spacing w:line="580" w:lineRule="exact"/>
        <w:ind w:firstLine="640" w:firstLineChars="200"/>
        <w:jc w:val="left"/>
        <w:rPr>
          <w:rFonts w:hint="eastAsia" w:ascii="仿宋_GB2312" w:hAnsi="仿宋_GB2312" w:eastAsia="仿宋_GB2312" w:cs="仿宋_GB2312"/>
          <w:i w:val="0"/>
          <w:caps w:val="0"/>
          <w:snapToGrid w:val="0"/>
          <w:color w:val="000000"/>
          <w:spacing w:val="0"/>
          <w:kern w:val="2"/>
          <w:sz w:val="32"/>
          <w:szCs w:val="32"/>
          <w:shd w:val="clear" w:color="auto" w:fill="FFFFFF"/>
          <w:lang w:val="en-US" w:eastAsia="zh-CN" w:bidi="ar"/>
        </w:rPr>
      </w:pPr>
      <w:r>
        <w:rPr>
          <w:rFonts w:hint="eastAsia" w:ascii="楷体_GB2312" w:hAnsi="楷体_GB2312" w:eastAsia="楷体_GB2312" w:cs="楷体_GB2312"/>
          <w:snapToGrid w:val="0"/>
          <w:color w:val="000000"/>
          <w:sz w:val="32"/>
          <w:szCs w:val="32"/>
          <w:shd w:val="clear" w:color="auto" w:fill="FFFFFF"/>
          <w:lang w:val="en-US" w:eastAsia="zh-CN"/>
        </w:rPr>
        <w:t>（四）宣传推广阶段（2026年4月底前）。</w:t>
      </w:r>
      <w:r>
        <w:rPr>
          <w:rFonts w:hint="eastAsia" w:ascii="仿宋_GB2312" w:hAnsi="仿宋_GB2312" w:eastAsia="仿宋_GB2312" w:cs="仿宋_GB2312"/>
          <w:i w:val="0"/>
          <w:caps w:val="0"/>
          <w:snapToGrid w:val="0"/>
          <w:color w:val="000000"/>
          <w:spacing w:val="0"/>
          <w:kern w:val="2"/>
          <w:sz w:val="32"/>
          <w:szCs w:val="32"/>
          <w:shd w:val="clear" w:color="auto" w:fill="FFFFFF"/>
          <w:lang w:val="en-US" w:eastAsia="zh-CN" w:bidi="ar"/>
        </w:rPr>
        <w:t>完成“一件事”全省推广应用，开展宣传培训、走流程验证、优化提升等工作。</w:t>
      </w:r>
    </w:p>
    <w:p>
      <w:pPr>
        <w:pageBreakBefore w:val="0"/>
        <w:kinsoku/>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color w:val="000000"/>
          <w:kern w:val="0"/>
          <w:sz w:val="32"/>
          <w:szCs w:val="32"/>
          <w:lang w:bidi="ar"/>
        </w:rPr>
      </w:pPr>
    </w:p>
    <w:p>
      <w:pPr>
        <w:pageBreakBefore w:val="0"/>
        <w:kinsoku/>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七、保障措施</w:t>
      </w:r>
    </w:p>
    <w:p>
      <w:pPr>
        <w:keepNext w:val="0"/>
        <w:keepLines w:val="0"/>
        <w:widowControl/>
        <w:suppressLineNumbers w:val="0"/>
        <w:ind w:firstLine="640" w:firstLineChars="200"/>
        <w:jc w:val="left"/>
        <w:rPr>
          <w:rFonts w:hint="eastAsia" w:ascii="仿宋_GB2312" w:hAnsi="仿宋_GB2312" w:eastAsia="仿宋_GB2312" w:cs="仿宋_GB2312"/>
          <w:i w:val="0"/>
          <w:caps w:val="0"/>
          <w:snapToGrid w:val="0"/>
          <w:color w:val="000000"/>
          <w:spacing w:val="0"/>
          <w:kern w:val="2"/>
          <w:sz w:val="32"/>
          <w:szCs w:val="32"/>
          <w:shd w:val="clear" w:color="auto" w:fill="FFFFFF"/>
          <w:lang w:val="en-US" w:eastAsia="zh-CN" w:bidi="ar"/>
        </w:rPr>
      </w:pPr>
      <w:r>
        <w:rPr>
          <w:rFonts w:hint="eastAsia" w:ascii="仿宋_GB2312" w:hAnsi="仿宋_GB2312" w:eastAsia="仿宋_GB2312" w:cs="仿宋_GB2312"/>
          <w:i w:val="0"/>
          <w:caps w:val="0"/>
          <w:snapToGrid w:val="0"/>
          <w:color w:val="000000"/>
          <w:spacing w:val="0"/>
          <w:kern w:val="2"/>
          <w:sz w:val="32"/>
          <w:szCs w:val="32"/>
          <w:shd w:val="clear" w:color="auto" w:fill="FFFFFF"/>
          <w:lang w:val="en-US" w:eastAsia="zh-CN" w:bidi="ar"/>
        </w:rPr>
        <w:t>省、市县各有关部门要切实加强工作协同，推动改革落地见效。省级业务主管部门要强化市县对口工作指导，协调解决改革过程中遇到的难点、堵点问题，及时梳理总结“一件事”的先进经验与创新做法，通过政务网站、新闻媒体等多种渠道，加强政策解读，大力宣传改革举措，提高社会认知度与认可度。各地要依法加强对通信网络设施建设和保护，加大对通信网络发展的政策支持力度，进一步落实通信网络建设所需的资源要素，在用地、用电、市政设施等资源要素上给予重点保障，并充分利用和共享现有杆塔资源及公共设施。</w:t>
      </w:r>
    </w:p>
    <w:p>
      <w:pPr>
        <w:pageBreakBefore w:val="0"/>
        <w:kinsoku/>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snapToGrid w:val="0"/>
          <w:color w:val="000000"/>
          <w:sz w:val="32"/>
          <w:szCs w:val="32"/>
          <w:shd w:val="clear" w:color="auto" w:fill="FFFFFF"/>
          <w:lang w:bidi="ar"/>
        </w:rPr>
      </w:pPr>
    </w:p>
    <w:p>
      <w:pPr>
        <w:pageBreakBefore w:val="0"/>
        <w:kinsoku/>
        <w:overflowPunct/>
        <w:topLinePunct w:val="0"/>
        <w:autoSpaceDE w:val="0"/>
        <w:autoSpaceDN w:val="0"/>
        <w:bidi w:val="0"/>
        <w:adjustRightInd w:val="0"/>
        <w:snapToGrid/>
        <w:spacing w:line="580" w:lineRule="exact"/>
        <w:ind w:left="1598" w:leftChars="304" w:hanging="960" w:hangingChars="300"/>
        <w:textAlignment w:val="auto"/>
        <w:rPr>
          <w:rFonts w:hint="eastAsia" w:ascii="仿宋_GB2312" w:hAnsi="仿宋_GB2312" w:eastAsia="仿宋_GB2312" w:cs="仿宋_GB2312"/>
          <w:snapToGrid w:val="0"/>
          <w:color w:val="000000"/>
          <w:sz w:val="32"/>
          <w:szCs w:val="32"/>
          <w:shd w:val="clear" w:color="auto" w:fill="FFFFFF"/>
        </w:rPr>
      </w:pPr>
      <w:r>
        <w:rPr>
          <w:rFonts w:hint="eastAsia" w:ascii="仿宋_GB2312" w:hAnsi="仿宋_GB2312" w:eastAsia="仿宋_GB2312" w:cs="仿宋_GB2312"/>
          <w:snapToGrid w:val="0"/>
          <w:color w:val="000000"/>
          <w:sz w:val="32"/>
          <w:szCs w:val="32"/>
          <w:shd w:val="clear" w:color="auto" w:fill="FFFFFF"/>
        </w:rPr>
        <w:t>附</w:t>
      </w:r>
      <w:r>
        <w:rPr>
          <w:rFonts w:hint="eastAsia" w:ascii="仿宋_GB2312" w:hAnsi="仿宋_GB2312" w:eastAsia="仿宋_GB2312" w:cs="仿宋_GB2312"/>
          <w:snapToGrid w:val="0"/>
          <w:color w:val="000000"/>
          <w:sz w:val="32"/>
          <w:szCs w:val="32"/>
          <w:shd w:val="clear" w:color="auto" w:fill="FFFFFF"/>
          <w:lang w:eastAsia="zh-CN"/>
        </w:rPr>
        <w:t>件</w:t>
      </w:r>
      <w:r>
        <w:rPr>
          <w:rFonts w:hint="eastAsia" w:ascii="仿宋_GB2312" w:hAnsi="仿宋_GB2312" w:eastAsia="仿宋_GB2312" w:cs="仿宋_GB2312"/>
          <w:snapToGrid w:val="0"/>
          <w:color w:val="000000"/>
          <w:sz w:val="32"/>
          <w:szCs w:val="32"/>
          <w:shd w:val="clear" w:color="auto" w:fill="FFFFFF"/>
        </w:rPr>
        <w:t>：</w:t>
      </w:r>
      <w:r>
        <w:rPr>
          <w:rFonts w:hint="eastAsia" w:ascii="仿宋_GB2312" w:hAnsi="仿宋_GB2312" w:eastAsia="仿宋_GB2312" w:cs="仿宋_GB2312"/>
          <w:snapToGrid w:val="0"/>
          <w:color w:val="000000"/>
          <w:sz w:val="32"/>
          <w:szCs w:val="32"/>
          <w:shd w:val="clear" w:color="auto" w:fill="FFFFFF"/>
          <w:lang w:val="en-US" w:eastAsia="zh-CN"/>
        </w:rPr>
        <w:t>1.</w:t>
      </w:r>
      <w:r>
        <w:rPr>
          <w:rFonts w:hint="eastAsia" w:ascii="仿宋_GB2312" w:hAnsi="仿宋_GB2312" w:eastAsia="仿宋_GB2312" w:cs="仿宋_GB2312"/>
          <w:snapToGrid w:val="0"/>
          <w:color w:val="000000"/>
          <w:sz w:val="32"/>
          <w:szCs w:val="32"/>
          <w:shd w:val="clear" w:color="auto" w:fill="FFFFFF"/>
        </w:rPr>
        <w:t>海南省通信网络建设要素保障“一件事”事项</w:t>
      </w:r>
    </w:p>
    <w:p>
      <w:pPr>
        <w:pageBreakBefore w:val="0"/>
        <w:kinsoku/>
        <w:overflowPunct/>
        <w:topLinePunct w:val="0"/>
        <w:autoSpaceDE w:val="0"/>
        <w:autoSpaceDN w:val="0"/>
        <w:bidi w:val="0"/>
        <w:adjustRightInd w:val="0"/>
        <w:snapToGrid/>
        <w:spacing w:line="580" w:lineRule="exact"/>
        <w:ind w:left="1598" w:leftChars="304" w:hanging="960" w:hangingChars="300"/>
        <w:textAlignment w:val="auto"/>
        <w:rPr>
          <w:rFonts w:hint="eastAsia" w:ascii="仿宋_GB2312" w:hAnsi="仿宋_GB2312" w:eastAsia="仿宋_GB2312" w:cs="仿宋_GB2312"/>
          <w:snapToGrid w:val="0"/>
          <w:color w:val="000000"/>
          <w:sz w:val="32"/>
          <w:szCs w:val="32"/>
          <w:shd w:val="clear" w:color="auto" w:fill="FFFFFF"/>
        </w:rPr>
      </w:pPr>
      <w:r>
        <w:rPr>
          <w:rFonts w:hint="eastAsia" w:ascii="仿宋_GB2312" w:hAnsi="仿宋_GB2312" w:eastAsia="仿宋_GB2312" w:cs="仿宋_GB2312"/>
          <w:snapToGrid w:val="0"/>
          <w:color w:val="000000"/>
          <w:sz w:val="32"/>
          <w:szCs w:val="32"/>
          <w:shd w:val="clear" w:color="auto" w:fill="FFFFFF"/>
          <w:lang w:val="en-US" w:eastAsia="zh-CN"/>
        </w:rPr>
        <w:t xml:space="preserve">        </w:t>
      </w:r>
      <w:r>
        <w:rPr>
          <w:rFonts w:hint="eastAsia" w:ascii="仿宋_GB2312" w:hAnsi="仿宋_GB2312" w:eastAsia="仿宋_GB2312" w:cs="仿宋_GB2312"/>
          <w:snapToGrid w:val="0"/>
          <w:color w:val="000000"/>
          <w:sz w:val="32"/>
          <w:szCs w:val="32"/>
          <w:shd w:val="clear" w:color="auto" w:fill="FFFFFF"/>
        </w:rPr>
        <w:t>清单</w:t>
      </w:r>
    </w:p>
    <w:p>
      <w:pPr>
        <w:keepNext w:val="0"/>
        <w:keepLines w:val="0"/>
        <w:pageBreakBefore w:val="0"/>
        <w:widowControl w:val="0"/>
        <w:kinsoku/>
        <w:wordWrap/>
        <w:overflowPunct/>
        <w:topLinePunct w:val="0"/>
        <w:autoSpaceDE w:val="0"/>
        <w:autoSpaceDN w:val="0"/>
        <w:bidi w:val="0"/>
        <w:adjustRightInd w:val="0"/>
        <w:snapToGrid/>
        <w:spacing w:line="580" w:lineRule="exact"/>
        <w:ind w:left="1596" w:leftChars="760" w:firstLine="0" w:firstLineChars="0"/>
        <w:jc w:val="both"/>
        <w:textAlignment w:val="auto"/>
        <w:rPr>
          <w:rFonts w:hint="eastAsia" w:ascii="仿宋_GB2312" w:hAnsi="仿宋_GB2312" w:eastAsia="仿宋_GB2312" w:cs="仿宋_GB2312"/>
          <w:snapToGrid w:val="0"/>
          <w:color w:val="000000"/>
          <w:sz w:val="32"/>
          <w:szCs w:val="32"/>
          <w:shd w:val="clear" w:color="auto" w:fill="FFFFFF"/>
          <w:lang w:val="en-US" w:eastAsia="zh-CN"/>
        </w:rPr>
      </w:pPr>
      <w:r>
        <w:rPr>
          <w:rFonts w:hint="eastAsia" w:ascii="仿宋_GB2312" w:hAnsi="仿宋_GB2312" w:eastAsia="仿宋_GB2312" w:cs="仿宋_GB2312"/>
          <w:snapToGrid w:val="0"/>
          <w:color w:val="000000"/>
          <w:sz w:val="32"/>
          <w:szCs w:val="32"/>
          <w:shd w:val="clear" w:color="auto" w:fill="FFFFFF"/>
          <w:lang w:val="en-US" w:eastAsia="zh-CN"/>
        </w:rPr>
        <w:t>2</w:t>
      </w:r>
      <w:r>
        <w:rPr>
          <w:rFonts w:hint="eastAsia" w:ascii="仿宋_GB2312" w:hAnsi="仿宋_GB2312" w:eastAsia="仿宋_GB2312" w:cs="仿宋_GB2312"/>
          <w:snapToGrid w:val="0"/>
          <w:color w:val="000000"/>
          <w:sz w:val="32"/>
          <w:szCs w:val="32"/>
          <w:shd w:val="clear" w:color="auto" w:fill="FFFFFF"/>
        </w:rPr>
        <w:t>.海南省通信网络建设要素保障“一件事”业务</w:t>
      </w:r>
      <w:r>
        <w:rPr>
          <w:rFonts w:hint="eastAsia" w:ascii="仿宋_GB2312" w:hAnsi="仿宋_GB2312" w:eastAsia="仿宋_GB2312" w:cs="仿宋_GB2312"/>
          <w:snapToGrid w:val="0"/>
          <w:color w:val="000000"/>
          <w:sz w:val="32"/>
          <w:szCs w:val="32"/>
          <w:shd w:val="clear" w:color="auto" w:fill="FFFFFF"/>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580" w:lineRule="exact"/>
        <w:ind w:left="1596" w:leftChars="760" w:firstLine="0" w:firstLineChars="0"/>
        <w:jc w:val="both"/>
        <w:textAlignment w:val="auto"/>
        <w:rPr>
          <w:rFonts w:hint="eastAsia" w:ascii="仿宋_GB2312" w:hAnsi="仿宋_GB2312" w:eastAsia="仿宋_GB2312" w:cs="仿宋_GB2312"/>
          <w:snapToGrid w:val="0"/>
          <w:color w:val="000000"/>
          <w:sz w:val="32"/>
          <w:szCs w:val="32"/>
          <w:shd w:val="clear" w:color="auto" w:fill="FFFFFF"/>
          <w:lang w:eastAsia="zh-CN"/>
        </w:rPr>
      </w:pPr>
      <w:r>
        <w:rPr>
          <w:rFonts w:hint="eastAsia" w:ascii="仿宋_GB2312" w:hAnsi="仿宋_GB2312" w:eastAsia="仿宋_GB2312" w:cs="仿宋_GB2312"/>
          <w:snapToGrid w:val="0"/>
          <w:color w:val="000000"/>
          <w:sz w:val="32"/>
          <w:szCs w:val="32"/>
          <w:shd w:val="clear" w:color="auto" w:fill="FFFFFF"/>
          <w:lang w:val="en-US" w:eastAsia="zh-CN"/>
        </w:rPr>
        <w:t xml:space="preserve">  </w:t>
      </w:r>
      <w:r>
        <w:rPr>
          <w:rFonts w:hint="eastAsia" w:ascii="仿宋_GB2312" w:hAnsi="仿宋_GB2312" w:eastAsia="仿宋_GB2312" w:cs="仿宋_GB2312"/>
          <w:snapToGrid w:val="0"/>
          <w:color w:val="000000"/>
          <w:sz w:val="32"/>
          <w:szCs w:val="32"/>
          <w:shd w:val="clear" w:color="auto" w:fill="FFFFFF"/>
        </w:rPr>
        <w:t>流</w:t>
      </w:r>
      <w:r>
        <w:rPr>
          <w:rFonts w:hint="eastAsia" w:ascii="仿宋_GB2312" w:hAnsi="仿宋_GB2312" w:eastAsia="仿宋_GB2312" w:cs="仿宋_GB2312"/>
          <w:snapToGrid w:val="0"/>
          <w:color w:val="000000"/>
          <w:sz w:val="32"/>
          <w:szCs w:val="32"/>
          <w:shd w:val="clear" w:color="auto" w:fill="FFFFFF"/>
          <w:lang w:eastAsia="zh-CN"/>
        </w:rPr>
        <w:t>程图</w:t>
      </w:r>
    </w:p>
    <w:p>
      <w:pPr>
        <w:keepNext w:val="0"/>
        <w:keepLines w:val="0"/>
        <w:pageBreakBefore w:val="0"/>
        <w:widowControl w:val="0"/>
        <w:kinsoku/>
        <w:wordWrap/>
        <w:overflowPunct/>
        <w:topLinePunct w:val="0"/>
        <w:autoSpaceDE w:val="0"/>
        <w:autoSpaceDN w:val="0"/>
        <w:bidi w:val="0"/>
        <w:adjustRightInd w:val="0"/>
        <w:snapToGrid/>
        <w:spacing w:line="580" w:lineRule="exact"/>
        <w:ind w:left="1596" w:leftChars="760" w:firstLine="0" w:firstLineChars="0"/>
        <w:jc w:val="both"/>
        <w:textAlignment w:val="auto"/>
        <w:rPr>
          <w:rFonts w:hint="eastAsia" w:ascii="仿宋_GB2312" w:hAnsi="仿宋_GB2312" w:eastAsia="仿宋_GB2312" w:cs="仿宋_GB2312"/>
          <w:snapToGrid w:val="0"/>
          <w:color w:val="000000"/>
          <w:sz w:val="32"/>
          <w:szCs w:val="32"/>
          <w:shd w:val="clear" w:color="auto" w:fill="FFFFFF"/>
          <w:lang w:val="en-US" w:eastAsia="zh-CN"/>
        </w:rPr>
      </w:pPr>
      <w:r>
        <w:rPr>
          <w:rFonts w:hint="eastAsia" w:ascii="仿宋_GB2312" w:hAnsi="仿宋_GB2312" w:eastAsia="仿宋_GB2312" w:cs="仿宋_GB2312"/>
          <w:snapToGrid w:val="0"/>
          <w:color w:val="000000"/>
          <w:sz w:val="32"/>
          <w:szCs w:val="32"/>
          <w:shd w:val="clear" w:color="auto" w:fill="FFFFFF"/>
          <w:lang w:val="en-US" w:eastAsia="zh-CN"/>
        </w:rPr>
        <w:t>3</w:t>
      </w:r>
      <w:r>
        <w:rPr>
          <w:rFonts w:hint="eastAsia" w:ascii="仿宋_GB2312" w:hAnsi="仿宋_GB2312" w:eastAsia="仿宋_GB2312" w:cs="仿宋_GB2312"/>
          <w:snapToGrid w:val="0"/>
          <w:color w:val="000000"/>
          <w:sz w:val="32"/>
          <w:szCs w:val="32"/>
          <w:shd w:val="clear" w:color="auto" w:fill="FFFFFF"/>
        </w:rPr>
        <w:t>.海南省通信网络建设要素保障“一件事”业务</w:t>
      </w:r>
      <w:r>
        <w:rPr>
          <w:rFonts w:hint="eastAsia" w:ascii="仿宋_GB2312" w:hAnsi="仿宋_GB2312" w:eastAsia="仿宋_GB2312" w:cs="仿宋_GB2312"/>
          <w:snapToGrid w:val="0"/>
          <w:color w:val="000000"/>
          <w:sz w:val="32"/>
          <w:szCs w:val="32"/>
          <w:shd w:val="clear" w:color="auto" w:fill="FFFFFF"/>
          <w:lang w:val="en-US" w:eastAsia="zh-CN"/>
        </w:rPr>
        <w:t xml:space="preserve">  </w:t>
      </w:r>
    </w:p>
    <w:p>
      <w:pPr>
        <w:pageBreakBefore w:val="0"/>
        <w:kinsoku/>
        <w:overflowPunct/>
        <w:topLinePunct w:val="0"/>
        <w:autoSpaceDE w:val="0"/>
        <w:autoSpaceDN w:val="0"/>
        <w:bidi w:val="0"/>
        <w:adjustRightInd w:val="0"/>
        <w:snapToGrid/>
        <w:spacing w:line="580" w:lineRule="exact"/>
        <w:ind w:firstLine="0" w:firstLineChars="0"/>
        <w:textAlignment w:val="auto"/>
        <w:rPr>
          <w:rFonts w:hint="eastAsia" w:ascii="黑体" w:hAnsi="黑体" w:eastAsia="黑体" w:cs="黑体"/>
          <w:color w:val="000000"/>
          <w:kern w:val="0"/>
          <w:sz w:val="32"/>
          <w:szCs w:val="32"/>
          <w:lang w:val="en-US" w:eastAsia="zh-CN" w:bidi="ar"/>
        </w:rPr>
      </w:pPr>
      <w:r>
        <w:rPr>
          <w:rFonts w:hint="eastAsia" w:ascii="仿宋_GB2312" w:hAnsi="仿宋_GB2312" w:eastAsia="仿宋_GB2312" w:cs="仿宋_GB2312"/>
          <w:snapToGrid w:val="0"/>
          <w:color w:val="000000"/>
          <w:sz w:val="32"/>
          <w:szCs w:val="32"/>
          <w:shd w:val="clear" w:color="auto" w:fill="FFFFFF"/>
          <w:lang w:val="en-US" w:eastAsia="zh-CN"/>
        </w:rPr>
        <w:t xml:space="preserve">  </w:t>
      </w:r>
      <w:r>
        <w:rPr>
          <w:rFonts w:hint="default" w:ascii="仿宋_GB2312" w:hAnsi="仿宋_GB2312" w:eastAsia="仿宋_GB2312" w:cs="仿宋_GB2312"/>
          <w:snapToGrid w:val="0"/>
          <w:color w:val="000000"/>
          <w:sz w:val="32"/>
          <w:szCs w:val="32"/>
          <w:shd w:val="clear" w:color="auto" w:fill="FFFFFF"/>
          <w:lang w:eastAsia="zh-CN"/>
        </w:rPr>
        <w:t xml:space="preserve">        </w:t>
      </w:r>
      <w:r>
        <w:rPr>
          <w:rFonts w:hint="eastAsia" w:ascii="仿宋_GB2312" w:hAnsi="仿宋_GB2312" w:eastAsia="仿宋_GB2312" w:cs="仿宋_GB2312"/>
          <w:snapToGrid w:val="0"/>
          <w:color w:val="000000"/>
          <w:sz w:val="32"/>
          <w:szCs w:val="32"/>
          <w:shd w:val="clear" w:color="auto" w:fill="FFFFFF"/>
          <w:lang w:val="en-US" w:eastAsia="zh-CN"/>
        </w:rPr>
        <w:t>场景</w:t>
      </w:r>
      <w:r>
        <w:rPr>
          <w:rFonts w:hint="eastAsia" w:ascii="仿宋_GB2312" w:hAnsi="仿宋_GB2312" w:eastAsia="仿宋_GB2312" w:cs="仿宋_GB2312"/>
          <w:snapToGrid w:val="0"/>
          <w:color w:val="000000"/>
          <w:sz w:val="32"/>
          <w:szCs w:val="32"/>
          <w:shd w:val="clear" w:color="auto" w:fill="FFFFFF"/>
          <w:lang w:eastAsia="zh-CN"/>
        </w:rPr>
        <w:t>图</w:t>
      </w:r>
    </w:p>
    <w:p>
      <w:pPr>
        <w:pageBreakBefore w:val="0"/>
        <w:kinsoku/>
        <w:overflowPunct/>
        <w:topLinePunct w:val="0"/>
        <w:autoSpaceDE w:val="0"/>
        <w:autoSpaceDN w:val="0"/>
        <w:bidi w:val="0"/>
        <w:adjustRightInd w:val="0"/>
        <w:snapToGrid/>
        <w:spacing w:line="580" w:lineRule="exact"/>
        <w:ind w:firstLine="0" w:firstLineChars="0"/>
        <w:textAlignment w:val="auto"/>
        <w:rPr>
          <w:rFonts w:hint="eastAsia" w:ascii="黑体" w:hAnsi="黑体" w:eastAsia="黑体" w:cs="黑体"/>
          <w:color w:val="000000"/>
          <w:kern w:val="0"/>
          <w:sz w:val="32"/>
          <w:szCs w:val="32"/>
          <w:lang w:val="en-US" w:eastAsia="zh-CN" w:bidi="ar"/>
        </w:rPr>
      </w:pPr>
    </w:p>
    <w:p>
      <w:pPr>
        <w:pageBreakBefore w:val="0"/>
        <w:kinsoku/>
        <w:overflowPunct/>
        <w:topLinePunct w:val="0"/>
        <w:autoSpaceDE w:val="0"/>
        <w:autoSpaceDN w:val="0"/>
        <w:bidi w:val="0"/>
        <w:adjustRightInd w:val="0"/>
        <w:snapToGrid/>
        <w:spacing w:line="580" w:lineRule="exact"/>
        <w:ind w:firstLine="0" w:firstLineChars="0"/>
        <w:textAlignment w:val="auto"/>
        <w:rPr>
          <w:rFonts w:hint="eastAsia" w:ascii="黑体" w:hAnsi="黑体" w:eastAsia="黑体" w:cs="黑体"/>
          <w:color w:val="000000"/>
          <w:kern w:val="0"/>
          <w:sz w:val="32"/>
          <w:szCs w:val="32"/>
          <w:lang w:val="en-US" w:eastAsia="zh-CN" w:bidi="ar"/>
        </w:rPr>
      </w:pPr>
    </w:p>
    <w:p>
      <w:pPr>
        <w:pageBreakBefore w:val="0"/>
        <w:kinsoku/>
        <w:overflowPunct/>
        <w:topLinePunct w:val="0"/>
        <w:autoSpaceDE w:val="0"/>
        <w:autoSpaceDN w:val="0"/>
        <w:bidi w:val="0"/>
        <w:adjustRightInd w:val="0"/>
        <w:snapToGrid/>
        <w:spacing w:line="580" w:lineRule="exact"/>
        <w:ind w:firstLine="0" w:firstLineChars="0"/>
        <w:textAlignment w:val="auto"/>
        <w:rPr>
          <w:rFonts w:hint="eastAsia" w:ascii="黑体" w:hAnsi="黑体" w:eastAsia="黑体" w:cs="黑体"/>
          <w:color w:val="000000"/>
          <w:kern w:val="0"/>
          <w:sz w:val="32"/>
          <w:szCs w:val="32"/>
          <w:lang w:val="en-US" w:eastAsia="zh-CN" w:bidi="ar"/>
        </w:rPr>
      </w:pPr>
    </w:p>
    <w:p>
      <w:pPr>
        <w:pageBreakBefore w:val="0"/>
        <w:kinsoku/>
        <w:overflowPunct/>
        <w:topLinePunct w:val="0"/>
        <w:autoSpaceDE w:val="0"/>
        <w:autoSpaceDN w:val="0"/>
        <w:bidi w:val="0"/>
        <w:adjustRightInd w:val="0"/>
        <w:snapToGrid/>
        <w:spacing w:line="580" w:lineRule="exact"/>
        <w:ind w:firstLine="0" w:firstLineChars="0"/>
        <w:textAlignment w:val="auto"/>
        <w:rPr>
          <w:rFonts w:hint="eastAsia" w:ascii="黑体" w:hAnsi="黑体" w:eastAsia="黑体" w:cs="黑体"/>
          <w:color w:val="000000"/>
          <w:kern w:val="0"/>
          <w:sz w:val="32"/>
          <w:szCs w:val="32"/>
          <w:lang w:val="en-US" w:eastAsia="zh-CN" w:bidi="ar"/>
        </w:rPr>
      </w:pPr>
    </w:p>
    <w:p>
      <w:pPr>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br w:type="page"/>
      </w:r>
    </w:p>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附件1</w:t>
      </w:r>
    </w:p>
    <w:p>
      <w:pPr>
        <w:keepNext w:val="0"/>
        <w:keepLines w:val="0"/>
        <w:pageBreakBefore w:val="0"/>
        <w:widowControl w:val="0"/>
        <w:kinsoku/>
        <w:wordWrap/>
        <w:overflowPunct/>
        <w:topLinePunct w:val="0"/>
        <w:autoSpaceDE w:val="0"/>
        <w:autoSpaceDN w:val="0"/>
        <w:bidi w:val="0"/>
        <w:adjustRightInd w:val="0"/>
        <w:snapToGrid/>
        <w:spacing w:line="560" w:lineRule="exact"/>
        <w:ind w:firstLine="0"/>
        <w:jc w:val="center"/>
        <w:textAlignment w:val="auto"/>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b w:val="0"/>
          <w:bCs w:val="0"/>
          <w:color w:val="000000"/>
          <w:kern w:val="0"/>
          <w:sz w:val="36"/>
          <w:szCs w:val="36"/>
          <w:lang w:val="en-US" w:eastAsia="zh-CN" w:bidi="ar"/>
        </w:rPr>
        <w:t>海南省通信网络建设要素保障“一件事”事项清单</w:t>
      </w:r>
    </w:p>
    <w:tbl>
      <w:tblPr>
        <w:tblStyle w:val="7"/>
        <w:tblpPr w:leftFromText="180" w:rightFromText="180" w:vertAnchor="text" w:horzAnchor="page" w:tblpX="1888" w:tblpY="727"/>
        <w:tblOverlap w:val="never"/>
        <w:tblW w:w="83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8"/>
        <w:gridCol w:w="3448"/>
        <w:gridCol w:w="2847"/>
        <w:gridCol w:w="1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8"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center"/>
              <w:textAlignment w:val="auto"/>
              <w:rPr>
                <w:rFonts w:hint="eastAsia" w:ascii="黑体" w:hAnsi="黑体" w:eastAsia="黑体" w:cs="黑体"/>
                <w:b w:val="0"/>
                <w:bCs w:val="0"/>
                <w:snapToGrid w:val="0"/>
                <w:color w:val="000000"/>
                <w:sz w:val="28"/>
                <w:szCs w:val="28"/>
                <w:shd w:val="clear" w:color="auto" w:fill="FFFFFF"/>
                <w:lang w:eastAsia="zh-CN"/>
              </w:rPr>
            </w:pPr>
            <w:r>
              <w:rPr>
                <w:rFonts w:hint="eastAsia" w:ascii="黑体" w:hAnsi="黑体" w:eastAsia="黑体" w:cs="黑体"/>
                <w:b w:val="0"/>
                <w:bCs w:val="0"/>
                <w:snapToGrid w:val="0"/>
                <w:color w:val="000000"/>
                <w:sz w:val="28"/>
                <w:szCs w:val="28"/>
                <w:shd w:val="clear" w:color="auto" w:fill="FFFFFF"/>
                <w:lang w:val="en-US" w:eastAsia="zh-CN"/>
              </w:rPr>
              <w:t>序号</w:t>
            </w:r>
          </w:p>
        </w:tc>
        <w:tc>
          <w:tcPr>
            <w:tcW w:w="3448"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center"/>
              <w:textAlignment w:val="auto"/>
              <w:rPr>
                <w:rFonts w:hint="eastAsia" w:ascii="黑体" w:hAnsi="黑体" w:eastAsia="黑体" w:cs="黑体"/>
                <w:b w:val="0"/>
                <w:bCs w:val="0"/>
                <w:snapToGrid w:val="0"/>
                <w:color w:val="000000"/>
                <w:sz w:val="28"/>
                <w:szCs w:val="28"/>
                <w:shd w:val="clear" w:color="auto" w:fill="FFFFFF"/>
                <w:lang w:eastAsia="zh-CN"/>
              </w:rPr>
            </w:pPr>
            <w:r>
              <w:rPr>
                <w:rFonts w:hint="eastAsia" w:ascii="黑体" w:hAnsi="黑体" w:eastAsia="黑体" w:cs="黑体"/>
                <w:b w:val="0"/>
                <w:bCs w:val="0"/>
                <w:snapToGrid w:val="0"/>
                <w:color w:val="000000"/>
                <w:sz w:val="28"/>
                <w:szCs w:val="28"/>
                <w:shd w:val="clear" w:color="auto" w:fill="FFFFFF"/>
                <w:lang w:val="en-US" w:eastAsia="zh-CN"/>
              </w:rPr>
              <w:t>事项名称</w:t>
            </w:r>
          </w:p>
        </w:tc>
        <w:tc>
          <w:tcPr>
            <w:tcW w:w="284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center"/>
              <w:textAlignment w:val="auto"/>
              <w:rPr>
                <w:rFonts w:hint="eastAsia" w:ascii="黑体" w:hAnsi="黑体" w:eastAsia="黑体" w:cs="黑体"/>
                <w:b w:val="0"/>
                <w:bCs w:val="0"/>
                <w:snapToGrid w:val="0"/>
                <w:color w:val="000000"/>
                <w:sz w:val="28"/>
                <w:szCs w:val="28"/>
                <w:shd w:val="clear" w:color="auto" w:fill="FFFFFF"/>
                <w:lang w:val="en-US" w:eastAsia="zh-CN"/>
              </w:rPr>
            </w:pPr>
            <w:r>
              <w:rPr>
                <w:rFonts w:hint="eastAsia" w:ascii="黑体" w:hAnsi="黑体" w:eastAsia="黑体" w:cs="黑体"/>
                <w:b w:val="0"/>
                <w:bCs w:val="0"/>
                <w:snapToGrid w:val="0"/>
                <w:color w:val="000000"/>
                <w:sz w:val="28"/>
                <w:szCs w:val="28"/>
                <w:shd w:val="clear" w:color="auto" w:fill="FFFFFF"/>
                <w:lang w:val="en-US" w:eastAsia="zh-CN"/>
              </w:rPr>
              <w:t>省级责任部门</w:t>
            </w:r>
          </w:p>
        </w:tc>
        <w:tc>
          <w:tcPr>
            <w:tcW w:w="1268"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center"/>
              <w:textAlignment w:val="auto"/>
              <w:rPr>
                <w:rFonts w:hint="eastAsia" w:ascii="黑体" w:hAnsi="黑体" w:eastAsia="黑体" w:cs="黑体"/>
                <w:b w:val="0"/>
                <w:bCs w:val="0"/>
                <w:snapToGrid w:val="0"/>
                <w:color w:val="000000"/>
                <w:sz w:val="28"/>
                <w:szCs w:val="28"/>
                <w:shd w:val="clear" w:color="auto" w:fill="FFFFFF"/>
                <w:lang w:val="en-US" w:eastAsia="zh-CN"/>
              </w:rPr>
            </w:pPr>
            <w:r>
              <w:rPr>
                <w:rFonts w:hint="eastAsia" w:ascii="黑体" w:hAnsi="黑体" w:eastAsia="黑体" w:cs="黑体"/>
                <w:b w:val="0"/>
                <w:bCs w:val="0"/>
                <w:snapToGrid w:val="0"/>
                <w:color w:val="000000"/>
                <w:sz w:val="28"/>
                <w:szCs w:val="28"/>
                <w:shd w:val="clear" w:color="auto" w:fill="FFFFFF"/>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1</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通信规划用地意见及权属确认</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省自然资源和规划厅</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sz w:val="28"/>
                <w:szCs w:val="28"/>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2</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地役权首次登记</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省自然资源和规划厅</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sz w:val="28"/>
                <w:szCs w:val="28"/>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3</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rPr>
                <w:rFonts w:hint="eastAsia" w:ascii="仿宋_GB2312" w:hAnsi="仿宋_GB2312" w:eastAsia="仿宋_GB2312" w:cs="仿宋_GB2312"/>
                <w:snapToGrid w:val="0"/>
                <w:color w:val="000000"/>
                <w:sz w:val="28"/>
                <w:szCs w:val="28"/>
                <w:shd w:val="clear" w:color="auto" w:fill="FFFFFF"/>
                <w:lang w:eastAsia="zh-CN"/>
              </w:rPr>
            </w:pPr>
            <w:r>
              <w:rPr>
                <w:rFonts w:hint="eastAsia" w:ascii="仿宋_GB2312" w:hAnsi="仿宋_GB2312" w:eastAsia="仿宋_GB2312" w:cs="仿宋_GB2312"/>
                <w:snapToGrid w:val="0"/>
                <w:color w:val="000000"/>
                <w:sz w:val="28"/>
                <w:szCs w:val="28"/>
                <w:shd w:val="clear" w:color="auto" w:fill="FFFFFF"/>
                <w:lang w:val="en-US" w:eastAsia="zh-CN"/>
              </w:rPr>
              <w:t>建设项目用地预审与选址意见书核发</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省自然资源和规划厅</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sz w:val="28"/>
                <w:szCs w:val="28"/>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4</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临时占用林地审批</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省自然资源和规划厅</w:t>
            </w:r>
          </w:p>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省林业局</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仿宋_GB2312" w:hAnsi="仿宋_GB2312" w:eastAsia="仿宋_GB2312" w:cs="仿宋_GB2312"/>
                <w:snapToGrid w:val="0"/>
                <w:color w:val="000000"/>
                <w:kern w:val="2"/>
                <w:sz w:val="28"/>
                <w:szCs w:val="28"/>
                <w:shd w:val="clear" w:color="auto" w:fill="FFFFFF"/>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5</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rPr>
                <w:rFonts w:hint="default"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临时用地许可</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省自然资源和规划厅</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仿宋_GB2312" w:hAnsi="仿宋_GB2312" w:eastAsia="仿宋_GB2312" w:cs="仿宋_GB2312"/>
                <w:snapToGrid w:val="0"/>
                <w:color w:val="000000"/>
                <w:sz w:val="28"/>
                <w:szCs w:val="28"/>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6</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修筑直接为林业生产经营服务的工程设施占用林地新办审批</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省林业局</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sz w:val="28"/>
                <w:szCs w:val="28"/>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7</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涉及国家安全事项的建设项目审批（项目选址）</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省国家安全厅</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sz w:val="28"/>
                <w:szCs w:val="28"/>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sz w:val="28"/>
                <w:szCs w:val="28"/>
                <w:shd w:val="clear" w:color="auto" w:fill="FFFFFF"/>
                <w:lang w:eastAsia="zh-CN"/>
              </w:rPr>
            </w:pPr>
            <w:r>
              <w:rPr>
                <w:rFonts w:hint="eastAsia" w:ascii="仿宋_GB2312" w:hAnsi="仿宋_GB2312" w:eastAsia="仿宋_GB2312" w:cs="仿宋_GB2312"/>
                <w:snapToGrid w:val="0"/>
                <w:color w:val="000000"/>
                <w:sz w:val="28"/>
                <w:szCs w:val="28"/>
                <w:shd w:val="clear" w:color="auto" w:fill="FFFFFF"/>
                <w:lang w:val="en-US" w:eastAsia="zh-CN"/>
              </w:rPr>
              <w:t>8</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rPr>
                <w:rFonts w:hint="eastAsia" w:ascii="仿宋_GB2312" w:hAnsi="仿宋_GB2312" w:eastAsia="仿宋_GB2312" w:cs="仿宋_GB2312"/>
                <w:snapToGrid w:val="0"/>
                <w:color w:val="000000"/>
                <w:sz w:val="28"/>
                <w:szCs w:val="28"/>
                <w:shd w:val="clear" w:color="auto" w:fill="FFFFFF"/>
                <w:lang w:eastAsia="zh-CN"/>
              </w:rPr>
            </w:pPr>
            <w:r>
              <w:rPr>
                <w:rFonts w:hint="eastAsia" w:ascii="仿宋_GB2312" w:hAnsi="仿宋_GB2312" w:eastAsia="仿宋_GB2312" w:cs="仿宋_GB2312"/>
                <w:snapToGrid w:val="0"/>
                <w:color w:val="000000"/>
                <w:sz w:val="28"/>
                <w:szCs w:val="28"/>
                <w:shd w:val="clear" w:color="auto" w:fill="FFFFFF"/>
                <w:lang w:val="en-US" w:eastAsia="zh-CN"/>
              </w:rPr>
              <w:t>临时占用城市道路和公共场地审批</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省住房城乡建设厅</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328"/>
              </w:tabs>
              <w:kinsoku/>
              <w:wordWrap/>
              <w:overflowPunct/>
              <w:topLinePunct w:val="0"/>
              <w:autoSpaceDE w:val="0"/>
              <w:autoSpaceDN w:val="0"/>
              <w:bidi w:val="0"/>
              <w:adjustRightInd w:val="0"/>
              <w:snapToGrid/>
              <w:spacing w:line="400" w:lineRule="exact"/>
              <w:ind w:firstLine="0" w:firstLineChars="0"/>
              <w:jc w:val="both"/>
              <w:textAlignment w:val="auto"/>
              <w:rPr>
                <w:rFonts w:hint="default"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包含告知承诺制、电力低风险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9</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rPr>
                <w:rFonts w:hint="eastAsia" w:ascii="仿宋_GB2312" w:hAnsi="仿宋_GB2312" w:eastAsia="仿宋_GB2312" w:cs="仿宋_GB2312"/>
                <w:snapToGrid w:val="0"/>
                <w:color w:val="000000"/>
                <w:sz w:val="28"/>
                <w:szCs w:val="28"/>
                <w:shd w:val="clear" w:color="auto" w:fill="FFFFFF"/>
                <w:lang w:eastAsia="zh-CN"/>
              </w:rPr>
            </w:pPr>
            <w:r>
              <w:rPr>
                <w:rFonts w:hint="eastAsia" w:ascii="仿宋_GB2312" w:hAnsi="仿宋_GB2312" w:eastAsia="仿宋_GB2312" w:cs="仿宋_GB2312"/>
                <w:snapToGrid w:val="0"/>
                <w:color w:val="000000"/>
                <w:sz w:val="28"/>
                <w:szCs w:val="28"/>
                <w:shd w:val="clear" w:color="auto" w:fill="FFFFFF"/>
                <w:lang w:val="en-US" w:eastAsia="zh-CN"/>
              </w:rPr>
              <w:t>临时占用城市绿地、移植、砍伐绿地树木审批</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省住房城乡建设厅</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sz w:val="28"/>
                <w:szCs w:val="28"/>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10</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建筑工程施工许可证核发</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省住房城乡建设厅</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rPr>
                <w:rFonts w:hint="default" w:ascii="仿宋_GB2312" w:hAnsi="仿宋_GB2312" w:eastAsia="仿宋_GB2312" w:cs="仿宋_GB2312"/>
                <w:snapToGrid w:val="0"/>
                <w:color w:val="000000"/>
                <w:sz w:val="28"/>
                <w:szCs w:val="28"/>
                <w:shd w:val="clear" w:color="auto" w:fill="FFFFFF"/>
                <w:lang w:eastAsia="zh-CN"/>
              </w:rPr>
            </w:pPr>
            <w:r>
              <w:rPr>
                <w:rFonts w:hint="eastAsia" w:ascii="仿宋_GB2312" w:hAnsi="仿宋_GB2312" w:eastAsia="仿宋_GB2312" w:cs="仿宋_GB2312"/>
                <w:snapToGrid w:val="0"/>
                <w:color w:val="000000"/>
                <w:kern w:val="2"/>
                <w:sz w:val="28"/>
                <w:szCs w:val="28"/>
                <w:shd w:val="clear" w:color="auto" w:fill="FFFFFF"/>
              </w:rPr>
              <w:t>包含告知承诺制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11</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市政设施建设类审批</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省住房城乡建设厅</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sz w:val="28"/>
                <w:szCs w:val="28"/>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12</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kern w:val="2"/>
                <w:sz w:val="28"/>
                <w:szCs w:val="28"/>
                <w:shd w:val="clear" w:color="auto" w:fill="FFFFFF"/>
                <w:lang w:val="en-US" w:eastAsia="zh-CN" w:bidi="ar-SA"/>
              </w:rPr>
              <w:t>在公路用地范围内架设、埋设管道、电缆等设施的审批</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省交通运输厅</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13</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kern w:val="2"/>
                <w:sz w:val="28"/>
                <w:szCs w:val="28"/>
                <w:shd w:val="clear" w:color="auto" w:fill="FFFFFF"/>
                <w:lang w:val="en-US" w:eastAsia="zh-CN" w:bidi="ar-SA"/>
              </w:rPr>
              <w:t>跨越、穿越公路、修建桥梁、渡槽或者架设、埋设管线、电缆等设施的审批</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省交通运输厅</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sz w:val="28"/>
                <w:szCs w:val="28"/>
                <w:shd w:val="clear" w:color="auto" w:fill="FFFFFF"/>
                <w:lang w:eastAsia="zh-CN"/>
              </w:rPr>
            </w:pPr>
            <w:r>
              <w:rPr>
                <w:rFonts w:hint="eastAsia" w:ascii="仿宋_GB2312" w:hAnsi="仿宋_GB2312" w:eastAsia="仿宋_GB2312" w:cs="仿宋_GB2312"/>
                <w:snapToGrid w:val="0"/>
                <w:color w:val="000000"/>
                <w:sz w:val="28"/>
                <w:szCs w:val="28"/>
                <w:shd w:val="clear" w:color="auto" w:fill="FFFFFF"/>
                <w:lang w:val="en-US" w:eastAsia="zh-CN"/>
              </w:rPr>
              <w:t>14</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涉路施工交通安全审查</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省公安厅</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15</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河道管理范围内建设项目工程建设方案审批</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省水务厅</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sz w:val="28"/>
                <w:szCs w:val="28"/>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16</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河道管理范围内建设项目工程建设方案备案</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省水务厅</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sz w:val="28"/>
                <w:szCs w:val="28"/>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17</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占用农业灌溉水源、灌排工程设施审批</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default" w:ascii="仿宋_GB2312" w:hAnsi="仿宋_GB2312" w:eastAsia="仿宋_GB2312" w:cs="仿宋_GB2312"/>
                <w:snapToGrid w:val="0"/>
                <w:color w:val="000000"/>
                <w:sz w:val="28"/>
                <w:szCs w:val="28"/>
                <w:shd w:val="clear" w:color="auto" w:fill="FFFFFF"/>
                <w:lang w:val="en-US" w:eastAsia="zh-CN"/>
              </w:rPr>
              <w:t>省水务厅</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sz w:val="28"/>
                <w:szCs w:val="28"/>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18</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林木采伐许可证核发（除省属国有林场以外）</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省林业局</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19</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林木采伐许可证核发（省属国有林场）</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省林业局</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sz w:val="28"/>
                <w:szCs w:val="28"/>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20</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rPr>
                <w:rFonts w:hint="eastAsia"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古树名木移植审批</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省林业局</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sz w:val="28"/>
                <w:szCs w:val="28"/>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21</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用电报装</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海南电网公司</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sz w:val="28"/>
                <w:szCs w:val="28"/>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22</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涉及国家安全事项的建设项目审批（项目报建）</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省国家安全厅</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sz w:val="28"/>
                <w:szCs w:val="28"/>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23</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rPr>
                <w:rFonts w:hint="eastAsia" w:ascii="仿宋_GB2312" w:hAnsi="仿宋_GB2312" w:eastAsia="仿宋_GB2312" w:cs="仿宋_GB2312"/>
                <w:snapToGrid w:val="0"/>
                <w:color w:val="000000"/>
                <w:sz w:val="28"/>
                <w:szCs w:val="28"/>
                <w:shd w:val="clear" w:color="auto" w:fill="FFFFFF"/>
                <w:lang w:eastAsia="zh-CN"/>
              </w:rPr>
            </w:pPr>
            <w:r>
              <w:rPr>
                <w:rFonts w:hint="eastAsia" w:ascii="仿宋_GB2312" w:hAnsi="仿宋_GB2312" w:eastAsia="仿宋_GB2312" w:cs="仿宋_GB2312"/>
                <w:snapToGrid w:val="0"/>
                <w:color w:val="000000"/>
                <w:sz w:val="28"/>
                <w:szCs w:val="28"/>
                <w:shd w:val="clear" w:color="auto" w:fill="FFFFFF"/>
                <w:lang w:eastAsia="zh-CN"/>
              </w:rPr>
              <w:t>房屋建筑和市政基础设施工程竣工验收备案</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省住房城乡建设厅</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sz w:val="28"/>
                <w:szCs w:val="28"/>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24</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涉及国家安全事项的建设项目审批（项目竣工验收）</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省国家安全厅</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sz w:val="28"/>
                <w:szCs w:val="28"/>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仿宋_GB2312" w:hAnsi="仿宋_GB2312" w:eastAsia="仿宋_GB2312" w:cs="仿宋_GB2312"/>
                <w:snapToGrid w:val="0"/>
                <w:color w:val="000000"/>
                <w:sz w:val="28"/>
                <w:szCs w:val="28"/>
                <w:shd w:val="clear" w:color="auto" w:fill="FFFFFF"/>
                <w:lang w:val="en-US" w:eastAsia="zh-CN"/>
              </w:rPr>
            </w:pPr>
            <w:r>
              <w:rPr>
                <w:rFonts w:hint="eastAsia" w:ascii="仿宋_GB2312" w:hAnsi="仿宋_GB2312" w:eastAsia="仿宋_GB2312" w:cs="仿宋_GB2312"/>
                <w:snapToGrid w:val="0"/>
                <w:color w:val="000000"/>
                <w:sz w:val="28"/>
                <w:szCs w:val="28"/>
                <w:shd w:val="clear" w:color="auto" w:fill="FFFFFF"/>
                <w:lang w:val="en-US" w:eastAsia="zh-CN"/>
              </w:rPr>
              <w:t>25</w:t>
            </w:r>
          </w:p>
        </w:tc>
        <w:tc>
          <w:tcPr>
            <w:tcW w:w="3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水上水下作业施工许可</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kern w:val="2"/>
                <w:sz w:val="28"/>
                <w:szCs w:val="28"/>
                <w:shd w:val="clear" w:color="auto" w:fill="FFFFFF"/>
                <w:lang w:val="en-US" w:eastAsia="zh-CN" w:bidi="ar-SA"/>
              </w:rPr>
            </w:pPr>
            <w:r>
              <w:rPr>
                <w:rFonts w:hint="eastAsia" w:ascii="仿宋_GB2312" w:hAnsi="仿宋_GB2312" w:eastAsia="仿宋_GB2312" w:cs="仿宋_GB2312"/>
                <w:snapToGrid w:val="0"/>
                <w:color w:val="000000"/>
                <w:sz w:val="28"/>
                <w:szCs w:val="28"/>
                <w:shd w:val="clear" w:color="auto" w:fill="FFFFFF"/>
                <w:lang w:val="en-US" w:eastAsia="zh-CN"/>
              </w:rPr>
              <w:t>海南海事局</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仿宋_GB2312" w:hAnsi="仿宋_GB2312" w:eastAsia="仿宋_GB2312" w:cs="仿宋_GB2312"/>
                <w:snapToGrid w:val="0"/>
                <w:color w:val="000000"/>
                <w:sz w:val="28"/>
                <w:szCs w:val="28"/>
                <w:shd w:val="clear" w:color="auto" w:fill="FFFFFF"/>
                <w:lang w:val="en-US" w:eastAsia="zh-CN"/>
              </w:rPr>
            </w:pPr>
          </w:p>
        </w:tc>
      </w:tr>
    </w:tbl>
    <w:p>
      <w:pPr>
        <w:pageBreakBefore w:val="0"/>
        <w:kinsoku/>
        <w:overflowPunct/>
        <w:topLinePunct w:val="0"/>
        <w:autoSpaceDE w:val="0"/>
        <w:autoSpaceDN w:val="0"/>
        <w:bidi w:val="0"/>
        <w:adjustRightInd w:val="0"/>
        <w:snapToGrid/>
        <w:spacing w:before="157" w:beforeLines="50" w:after="157" w:afterLines="50" w:line="580" w:lineRule="exact"/>
        <w:ind w:firstLine="0" w:firstLineChars="0"/>
        <w:jc w:val="center"/>
        <w:textAlignment w:val="auto"/>
        <w:rPr>
          <w:rFonts w:hint="eastAsia" w:ascii="宋体" w:hAnsi="宋体" w:eastAsia="宋体" w:cs="宋体"/>
          <w:b w:val="0"/>
          <w:bCs w:val="0"/>
          <w:color w:val="000000"/>
          <w:kern w:val="0"/>
          <w:sz w:val="32"/>
          <w:szCs w:val="32"/>
          <w:lang w:val="en-US" w:eastAsia="zh-CN" w:bidi="ar"/>
        </w:rPr>
      </w:pPr>
    </w:p>
    <w:p>
      <w:pPr>
        <w:pageBreakBefore w:val="0"/>
        <w:kinsoku/>
        <w:overflowPunct/>
        <w:topLinePunct w:val="0"/>
        <w:autoSpaceDE w:val="0"/>
        <w:autoSpaceDN w:val="0"/>
        <w:bidi w:val="0"/>
        <w:adjustRightInd w:val="0"/>
        <w:snapToGrid/>
        <w:spacing w:before="157" w:beforeLines="50" w:after="157" w:afterLines="50" w:line="580" w:lineRule="exact"/>
        <w:ind w:firstLine="0" w:firstLineChars="0"/>
        <w:jc w:val="center"/>
        <w:textAlignment w:val="auto"/>
        <w:rPr>
          <w:rFonts w:hint="eastAsia" w:ascii="宋体" w:hAnsi="宋体" w:eastAsia="宋体" w:cs="宋体"/>
          <w:b w:val="0"/>
          <w:bCs w:val="0"/>
          <w:color w:val="000000"/>
          <w:kern w:val="0"/>
          <w:sz w:val="32"/>
          <w:szCs w:val="32"/>
          <w:lang w:val="en-US" w:eastAsia="zh-CN" w:bidi="ar"/>
        </w:rPr>
      </w:pPr>
    </w:p>
    <w:p>
      <w:pPr>
        <w:pageBreakBefore w:val="0"/>
        <w:kinsoku/>
        <w:overflowPunct/>
        <w:topLinePunct w:val="0"/>
        <w:autoSpaceDE w:val="0"/>
        <w:autoSpaceDN w:val="0"/>
        <w:bidi w:val="0"/>
        <w:adjustRightInd w:val="0"/>
        <w:snapToGrid/>
        <w:spacing w:line="580" w:lineRule="exact"/>
        <w:ind w:firstLine="0" w:firstLineChars="0"/>
        <w:textAlignment w:val="auto"/>
        <w:rPr>
          <w:rFonts w:hint="eastAsia" w:ascii="黑体" w:hAnsi="黑体" w:eastAsia="黑体" w:cs="黑体"/>
          <w:color w:val="000000"/>
          <w:kern w:val="0"/>
          <w:sz w:val="32"/>
          <w:szCs w:val="32"/>
          <w:lang w:val="en-US" w:eastAsia="zh-CN" w:bidi="ar"/>
        </w:rPr>
      </w:pPr>
    </w:p>
    <w:p>
      <w:pPr>
        <w:pageBreakBefore w:val="0"/>
        <w:kinsoku/>
        <w:overflowPunct/>
        <w:topLinePunct w:val="0"/>
        <w:autoSpaceDE w:val="0"/>
        <w:autoSpaceDN w:val="0"/>
        <w:bidi w:val="0"/>
        <w:adjustRightInd w:val="0"/>
        <w:snapToGrid/>
        <w:spacing w:line="580" w:lineRule="exact"/>
        <w:ind w:firstLine="0" w:firstLineChars="0"/>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br w:type="page"/>
      </w:r>
      <w:r>
        <w:rPr>
          <w:rFonts w:hint="eastAsia" w:ascii="黑体" w:hAnsi="黑体" w:eastAsia="黑体" w:cs="黑体"/>
          <w:color w:val="000000"/>
          <w:kern w:val="0"/>
          <w:sz w:val="32"/>
          <w:szCs w:val="32"/>
          <w:lang w:val="en-US" w:eastAsia="zh-CN" w:bidi="ar"/>
        </w:rPr>
        <w:t>附件2</w:t>
      </w:r>
    </w:p>
    <w:p>
      <w:pPr>
        <w:pageBreakBefore w:val="0"/>
        <w:kinsoku/>
        <w:overflowPunct/>
        <w:topLinePunct w:val="0"/>
        <w:autoSpaceDE w:val="0"/>
        <w:autoSpaceDN w:val="0"/>
        <w:bidi w:val="0"/>
        <w:adjustRightInd w:val="0"/>
        <w:snapToGrid/>
        <w:spacing w:before="157" w:beforeLines="50" w:after="157" w:afterLines="50" w:line="580" w:lineRule="exact"/>
        <w:ind w:firstLine="0" w:firstLineChars="0"/>
        <w:jc w:val="center"/>
        <w:textAlignment w:val="auto"/>
        <w:rPr>
          <w:rFonts w:hint="eastAsia" w:asciiTheme="majorEastAsia" w:hAnsiTheme="majorEastAsia" w:eastAsiaTheme="majorEastAsia" w:cstheme="majorEastAsia"/>
          <w:b w:val="0"/>
          <w:bCs w:val="0"/>
          <w:color w:val="000000"/>
          <w:kern w:val="0"/>
          <w:sz w:val="36"/>
          <w:szCs w:val="36"/>
          <w:lang w:val="en-US" w:eastAsia="zh-CN" w:bidi="ar"/>
        </w:rPr>
      </w:pPr>
      <w:r>
        <w:rPr>
          <w:rFonts w:hint="eastAsia" w:asciiTheme="majorEastAsia" w:hAnsiTheme="majorEastAsia" w:eastAsiaTheme="majorEastAsia" w:cstheme="majorEastAsia"/>
          <w:b w:val="0"/>
          <w:bCs w:val="0"/>
          <w:color w:val="000000"/>
          <w:kern w:val="0"/>
          <w:sz w:val="36"/>
          <w:szCs w:val="36"/>
          <w:lang w:val="en-US" w:eastAsia="zh-CN" w:bidi="ar"/>
        </w:rPr>
        <w:t>海南省通信网络建设要素保障“一件事”业务流程图</w:t>
      </w:r>
    </w:p>
    <w:p>
      <w:pPr>
        <w:pStyle w:val="2"/>
        <w:rPr>
          <w:rFonts w:hint="eastAsia"/>
          <w:lang w:val="en-US" w:eastAsia="zh-CN"/>
        </w:rPr>
      </w:pPr>
      <w:r>
        <w:drawing>
          <wp:inline distT="0" distB="0" distL="114300" distR="114300">
            <wp:extent cx="5271770" cy="2108835"/>
            <wp:effectExtent l="0" t="0" r="5080" b="5715"/>
            <wp:docPr id="2" name="图片 1" descr="C:/Users/陈俊宇/Desktop/业务流程图 1216.jpg业务流程图 12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descr="C:/Users/陈俊宇/Desktop/业务流程图 1216.jpg业务流程图 1216"/>
                    <pic:cNvPicPr>
                      <a:picLocks noChangeAspect="true"/>
                    </pic:cNvPicPr>
                  </pic:nvPicPr>
                  <pic:blipFill>
                    <a:blip r:embed="rId5"/>
                    <a:srcRect t="6" b="6"/>
                    <a:stretch>
                      <a:fillRect/>
                    </a:stretch>
                  </pic:blipFill>
                  <pic:spPr>
                    <a:xfrm>
                      <a:off x="0" y="0"/>
                      <a:ext cx="5271770" cy="2108835"/>
                    </a:xfrm>
                    <a:prstGeom prst="rect">
                      <a:avLst/>
                    </a:prstGeom>
                    <a:noFill/>
                    <a:ln>
                      <a:noFill/>
                    </a:ln>
                  </pic:spPr>
                </pic:pic>
              </a:graphicData>
            </a:graphic>
          </wp:inline>
        </w:drawing>
      </w:r>
    </w:p>
    <w:p>
      <w:pPr>
        <w:pageBreakBefore w:val="0"/>
        <w:kinsoku/>
        <w:overflowPunct/>
        <w:topLinePunct w:val="0"/>
        <w:autoSpaceDE w:val="0"/>
        <w:autoSpaceDN w:val="0"/>
        <w:bidi w:val="0"/>
        <w:adjustRightInd w:val="0"/>
        <w:snapToGrid/>
        <w:spacing w:line="580" w:lineRule="exact"/>
        <w:ind w:firstLine="0" w:firstLineChars="0"/>
        <w:textAlignment w:val="auto"/>
        <w:rPr>
          <w:rFonts w:hint="eastAsia" w:ascii="黑体" w:hAnsi="黑体" w:eastAsia="黑体" w:cs="黑体"/>
          <w:color w:val="000000"/>
          <w:kern w:val="0"/>
          <w:sz w:val="32"/>
          <w:szCs w:val="32"/>
          <w:lang w:val="en-US" w:eastAsia="zh-CN" w:bidi="ar"/>
        </w:rPr>
      </w:pPr>
    </w:p>
    <w:p>
      <w:pPr>
        <w:pageBreakBefore w:val="0"/>
        <w:kinsoku/>
        <w:overflowPunct/>
        <w:topLinePunct w:val="0"/>
        <w:autoSpaceDE w:val="0"/>
        <w:autoSpaceDN w:val="0"/>
        <w:bidi w:val="0"/>
        <w:adjustRightInd w:val="0"/>
        <w:snapToGrid/>
        <w:spacing w:line="580" w:lineRule="exact"/>
        <w:ind w:firstLine="0" w:firstLineChars="0"/>
        <w:textAlignment w:val="auto"/>
        <w:rPr>
          <w:rFonts w:hint="eastAsia" w:ascii="黑体" w:hAnsi="黑体" w:eastAsia="黑体" w:cs="黑体"/>
          <w:color w:val="000000"/>
          <w:kern w:val="0"/>
          <w:sz w:val="32"/>
          <w:szCs w:val="32"/>
          <w:lang w:val="en-US" w:eastAsia="zh-CN" w:bidi="ar"/>
        </w:rPr>
      </w:pPr>
    </w:p>
    <w:p>
      <w:pPr>
        <w:pageBreakBefore w:val="0"/>
        <w:kinsoku/>
        <w:overflowPunct/>
        <w:topLinePunct w:val="0"/>
        <w:autoSpaceDE w:val="0"/>
        <w:autoSpaceDN w:val="0"/>
        <w:bidi w:val="0"/>
        <w:adjustRightInd w:val="0"/>
        <w:snapToGrid/>
        <w:spacing w:line="580" w:lineRule="exact"/>
        <w:ind w:firstLine="0" w:firstLineChars="0"/>
        <w:textAlignment w:val="auto"/>
        <w:rPr>
          <w:rFonts w:hint="eastAsia" w:ascii="黑体" w:hAnsi="黑体" w:eastAsia="黑体" w:cs="黑体"/>
          <w:color w:val="000000"/>
          <w:kern w:val="0"/>
          <w:sz w:val="32"/>
          <w:szCs w:val="32"/>
          <w:lang w:val="en-US" w:eastAsia="zh-CN" w:bidi="ar"/>
        </w:rPr>
      </w:pPr>
    </w:p>
    <w:p>
      <w:pPr>
        <w:pageBreakBefore w:val="0"/>
        <w:kinsoku/>
        <w:overflowPunct/>
        <w:topLinePunct w:val="0"/>
        <w:autoSpaceDE w:val="0"/>
        <w:autoSpaceDN w:val="0"/>
        <w:bidi w:val="0"/>
        <w:adjustRightInd w:val="0"/>
        <w:snapToGrid/>
        <w:spacing w:line="580" w:lineRule="exact"/>
        <w:ind w:firstLine="0" w:firstLineChars="0"/>
        <w:textAlignment w:val="auto"/>
        <w:rPr>
          <w:rFonts w:hint="eastAsia" w:ascii="黑体" w:hAnsi="黑体" w:eastAsia="黑体" w:cs="黑体"/>
          <w:color w:val="000000"/>
          <w:kern w:val="0"/>
          <w:sz w:val="32"/>
          <w:szCs w:val="32"/>
          <w:lang w:val="en-US" w:eastAsia="zh-CN" w:bidi="ar"/>
        </w:rPr>
      </w:pPr>
    </w:p>
    <w:p>
      <w:pPr>
        <w:pageBreakBefore w:val="0"/>
        <w:kinsoku/>
        <w:overflowPunct/>
        <w:topLinePunct w:val="0"/>
        <w:autoSpaceDE w:val="0"/>
        <w:autoSpaceDN w:val="0"/>
        <w:bidi w:val="0"/>
        <w:adjustRightInd w:val="0"/>
        <w:snapToGrid/>
        <w:spacing w:line="580" w:lineRule="exact"/>
        <w:ind w:firstLine="0" w:firstLineChars="0"/>
        <w:textAlignment w:val="auto"/>
        <w:rPr>
          <w:rFonts w:hint="eastAsia" w:ascii="黑体" w:hAnsi="黑体" w:eastAsia="黑体" w:cs="黑体"/>
          <w:color w:val="000000"/>
          <w:kern w:val="0"/>
          <w:sz w:val="32"/>
          <w:szCs w:val="32"/>
          <w:lang w:val="en-US" w:eastAsia="zh-CN" w:bidi="ar"/>
        </w:rPr>
      </w:pPr>
    </w:p>
    <w:p>
      <w:pPr>
        <w:pageBreakBefore w:val="0"/>
        <w:kinsoku/>
        <w:overflowPunct/>
        <w:topLinePunct w:val="0"/>
        <w:autoSpaceDE w:val="0"/>
        <w:autoSpaceDN w:val="0"/>
        <w:bidi w:val="0"/>
        <w:adjustRightInd w:val="0"/>
        <w:snapToGrid/>
        <w:spacing w:line="580" w:lineRule="exact"/>
        <w:ind w:firstLine="0" w:firstLineChars="0"/>
        <w:textAlignment w:val="auto"/>
        <w:rPr>
          <w:rFonts w:hint="eastAsia" w:ascii="黑体" w:hAnsi="黑体" w:eastAsia="黑体" w:cs="黑体"/>
          <w:color w:val="000000"/>
          <w:kern w:val="0"/>
          <w:sz w:val="32"/>
          <w:szCs w:val="32"/>
          <w:lang w:val="en-US" w:eastAsia="zh-CN" w:bidi="ar"/>
        </w:rPr>
      </w:pPr>
    </w:p>
    <w:p>
      <w:pPr>
        <w:pageBreakBefore w:val="0"/>
        <w:kinsoku/>
        <w:overflowPunct/>
        <w:topLinePunct w:val="0"/>
        <w:autoSpaceDE w:val="0"/>
        <w:autoSpaceDN w:val="0"/>
        <w:bidi w:val="0"/>
        <w:adjustRightInd w:val="0"/>
        <w:snapToGrid/>
        <w:spacing w:line="580" w:lineRule="exact"/>
        <w:ind w:firstLine="0" w:firstLineChars="0"/>
        <w:textAlignment w:val="auto"/>
        <w:rPr>
          <w:rFonts w:hint="eastAsia" w:ascii="黑体" w:hAnsi="黑体" w:eastAsia="黑体" w:cs="黑体"/>
          <w:color w:val="000000"/>
          <w:kern w:val="0"/>
          <w:sz w:val="32"/>
          <w:szCs w:val="32"/>
          <w:lang w:val="en-US" w:eastAsia="zh-CN" w:bidi="ar"/>
        </w:rPr>
      </w:pPr>
    </w:p>
    <w:p>
      <w:pPr>
        <w:pageBreakBefore w:val="0"/>
        <w:kinsoku/>
        <w:overflowPunct/>
        <w:topLinePunct w:val="0"/>
        <w:autoSpaceDE w:val="0"/>
        <w:autoSpaceDN w:val="0"/>
        <w:bidi w:val="0"/>
        <w:adjustRightInd w:val="0"/>
        <w:snapToGrid/>
        <w:spacing w:line="580" w:lineRule="exact"/>
        <w:ind w:firstLine="0" w:firstLineChars="0"/>
        <w:textAlignment w:val="auto"/>
        <w:rPr>
          <w:rFonts w:hint="eastAsia" w:ascii="黑体" w:hAnsi="黑体" w:eastAsia="黑体" w:cs="黑体"/>
          <w:color w:val="000000"/>
          <w:kern w:val="0"/>
          <w:sz w:val="32"/>
          <w:szCs w:val="32"/>
          <w:lang w:val="en-US" w:eastAsia="zh-CN" w:bidi="ar"/>
        </w:rPr>
      </w:pPr>
    </w:p>
    <w:p>
      <w:pPr>
        <w:pageBreakBefore w:val="0"/>
        <w:kinsoku/>
        <w:overflowPunct/>
        <w:topLinePunct w:val="0"/>
        <w:autoSpaceDE w:val="0"/>
        <w:autoSpaceDN w:val="0"/>
        <w:bidi w:val="0"/>
        <w:adjustRightInd w:val="0"/>
        <w:snapToGrid/>
        <w:spacing w:line="580" w:lineRule="exact"/>
        <w:ind w:firstLine="0" w:firstLineChars="0"/>
        <w:textAlignment w:val="auto"/>
        <w:rPr>
          <w:rFonts w:hint="eastAsia" w:ascii="黑体" w:hAnsi="黑体" w:eastAsia="黑体" w:cs="黑体"/>
          <w:color w:val="000000"/>
          <w:kern w:val="0"/>
          <w:sz w:val="32"/>
          <w:szCs w:val="32"/>
          <w:lang w:val="en-US" w:eastAsia="zh-CN" w:bidi="ar"/>
        </w:rPr>
      </w:pPr>
    </w:p>
    <w:p>
      <w:pPr>
        <w:pageBreakBefore w:val="0"/>
        <w:kinsoku/>
        <w:overflowPunct/>
        <w:topLinePunct w:val="0"/>
        <w:autoSpaceDE w:val="0"/>
        <w:autoSpaceDN w:val="0"/>
        <w:bidi w:val="0"/>
        <w:adjustRightInd w:val="0"/>
        <w:snapToGrid/>
        <w:spacing w:line="580" w:lineRule="exact"/>
        <w:ind w:firstLine="0" w:firstLineChars="0"/>
        <w:textAlignment w:val="auto"/>
        <w:rPr>
          <w:rFonts w:hint="eastAsia" w:ascii="黑体" w:hAnsi="黑体" w:eastAsia="黑体" w:cs="黑体"/>
          <w:color w:val="000000"/>
          <w:kern w:val="0"/>
          <w:sz w:val="32"/>
          <w:szCs w:val="32"/>
          <w:lang w:val="en-US" w:eastAsia="zh-CN" w:bidi="ar"/>
        </w:rPr>
      </w:pPr>
    </w:p>
    <w:p>
      <w:pPr>
        <w:pageBreakBefore w:val="0"/>
        <w:kinsoku/>
        <w:overflowPunct/>
        <w:topLinePunct w:val="0"/>
        <w:autoSpaceDE w:val="0"/>
        <w:autoSpaceDN w:val="0"/>
        <w:bidi w:val="0"/>
        <w:adjustRightInd w:val="0"/>
        <w:snapToGrid/>
        <w:spacing w:line="580" w:lineRule="exact"/>
        <w:ind w:firstLine="0" w:firstLineChars="0"/>
        <w:textAlignment w:val="auto"/>
        <w:rPr>
          <w:rFonts w:hint="eastAsia" w:ascii="黑体" w:hAnsi="黑体" w:eastAsia="黑体" w:cs="黑体"/>
          <w:color w:val="000000"/>
          <w:kern w:val="0"/>
          <w:sz w:val="32"/>
          <w:szCs w:val="32"/>
          <w:lang w:val="en-US" w:eastAsia="zh-CN" w:bidi="ar"/>
        </w:rPr>
      </w:pPr>
    </w:p>
    <w:p>
      <w:pPr>
        <w:pageBreakBefore w:val="0"/>
        <w:kinsoku/>
        <w:overflowPunct/>
        <w:topLinePunct w:val="0"/>
        <w:autoSpaceDE w:val="0"/>
        <w:autoSpaceDN w:val="0"/>
        <w:bidi w:val="0"/>
        <w:adjustRightInd w:val="0"/>
        <w:snapToGrid/>
        <w:spacing w:line="580" w:lineRule="exact"/>
        <w:ind w:firstLine="0" w:firstLineChars="0"/>
        <w:textAlignment w:val="auto"/>
        <w:rPr>
          <w:rFonts w:hint="eastAsia" w:ascii="黑体" w:hAnsi="黑体" w:eastAsia="黑体" w:cs="黑体"/>
          <w:color w:val="000000"/>
          <w:kern w:val="0"/>
          <w:sz w:val="32"/>
          <w:szCs w:val="32"/>
          <w:lang w:val="en-US" w:eastAsia="zh-CN" w:bidi="ar"/>
        </w:rPr>
      </w:pPr>
    </w:p>
    <w:p>
      <w:pPr>
        <w:pageBreakBefore w:val="0"/>
        <w:kinsoku/>
        <w:overflowPunct/>
        <w:topLinePunct w:val="0"/>
        <w:autoSpaceDE w:val="0"/>
        <w:autoSpaceDN w:val="0"/>
        <w:bidi w:val="0"/>
        <w:adjustRightInd w:val="0"/>
        <w:snapToGrid/>
        <w:spacing w:line="580" w:lineRule="exact"/>
        <w:ind w:firstLine="0" w:firstLineChars="0"/>
        <w:textAlignment w:val="auto"/>
        <w:rPr>
          <w:rFonts w:hint="default"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br w:type="page"/>
      </w:r>
      <w:r>
        <w:rPr>
          <w:rFonts w:hint="eastAsia" w:ascii="黑体" w:hAnsi="黑体" w:eastAsia="黑体" w:cs="黑体"/>
          <w:color w:val="000000"/>
          <w:kern w:val="0"/>
          <w:sz w:val="32"/>
          <w:szCs w:val="32"/>
          <w:lang w:val="en-US" w:eastAsia="zh-CN" w:bidi="ar"/>
        </w:rPr>
        <w:t>附件3</w:t>
      </w:r>
    </w:p>
    <w:p>
      <w:pPr>
        <w:pageBreakBefore w:val="0"/>
        <w:kinsoku/>
        <w:overflowPunct/>
        <w:topLinePunct w:val="0"/>
        <w:autoSpaceDE w:val="0"/>
        <w:autoSpaceDN w:val="0"/>
        <w:bidi w:val="0"/>
        <w:adjustRightInd w:val="0"/>
        <w:snapToGrid/>
        <w:spacing w:before="157" w:beforeLines="50" w:after="157" w:afterLines="50" w:line="580" w:lineRule="exact"/>
        <w:ind w:firstLine="0" w:firstLineChars="0"/>
        <w:jc w:val="center"/>
        <w:textAlignment w:val="auto"/>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b w:val="0"/>
          <w:bCs w:val="0"/>
          <w:color w:val="000000"/>
          <w:kern w:val="0"/>
          <w:sz w:val="36"/>
          <w:szCs w:val="36"/>
          <w:lang w:val="en-US" w:eastAsia="zh-CN" w:bidi="ar"/>
        </w:rPr>
        <w:t>海南省通信网络建设要素保障“一件事”业务场景图</w:t>
      </w:r>
    </w:p>
    <w:p>
      <w:pPr>
        <w:pStyle w:val="2"/>
        <w:ind w:left="0" w:leftChars="0" w:firstLine="0" w:firstLineChars="0"/>
        <w:rPr>
          <w:rFonts w:hint="eastAsia"/>
          <w:lang w:val="en-US" w:eastAsia="zh-CN"/>
        </w:rPr>
      </w:pPr>
      <w:r>
        <w:drawing>
          <wp:inline distT="0" distB="0" distL="114300" distR="114300">
            <wp:extent cx="5067300" cy="6488430"/>
            <wp:effectExtent l="0" t="0" r="0" b="7620"/>
            <wp:docPr id="1" name="图片 2" descr="C:/Users/陈俊宇/Desktop/场景流程图12.16.jpg场景流程图12.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C:/Users/陈俊宇/Desktop/场景流程图12.16.jpg场景流程图12.16"/>
                    <pic:cNvPicPr>
                      <a:picLocks noChangeAspect="true"/>
                    </pic:cNvPicPr>
                  </pic:nvPicPr>
                  <pic:blipFill>
                    <a:blip r:embed="rId6"/>
                    <a:srcRect l="250" r="250"/>
                    <a:stretch>
                      <a:fillRect/>
                    </a:stretch>
                  </pic:blipFill>
                  <pic:spPr>
                    <a:xfrm>
                      <a:off x="0" y="0"/>
                      <a:ext cx="5067300" cy="6488430"/>
                    </a:xfrm>
                    <a:prstGeom prst="rect">
                      <a:avLst/>
                    </a:prstGeom>
                    <a:noFill/>
                    <a:ln>
                      <a:noFill/>
                    </a:ln>
                  </pic:spPr>
                </pic:pic>
              </a:graphicData>
            </a:graphic>
          </wp:inline>
        </w:drawing>
      </w:r>
    </w:p>
    <w:p>
      <w:pPr>
        <w:pageBreakBefore w:val="0"/>
        <w:kinsoku/>
        <w:overflowPunct/>
        <w:topLinePunct w:val="0"/>
        <w:bidi w:val="0"/>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A3DF9"/>
    <w:rsid w:val="00020075"/>
    <w:rsid w:val="000221B6"/>
    <w:rsid w:val="000322B8"/>
    <w:rsid w:val="00042224"/>
    <w:rsid w:val="0004629A"/>
    <w:rsid w:val="00070A4A"/>
    <w:rsid w:val="000A3EAD"/>
    <w:rsid w:val="000A6443"/>
    <w:rsid w:val="000C0887"/>
    <w:rsid w:val="000C36D6"/>
    <w:rsid w:val="000D1307"/>
    <w:rsid w:val="000D3AEE"/>
    <w:rsid w:val="000D52D3"/>
    <w:rsid w:val="000E7932"/>
    <w:rsid w:val="000F17BD"/>
    <w:rsid w:val="00102086"/>
    <w:rsid w:val="00105425"/>
    <w:rsid w:val="0011215E"/>
    <w:rsid w:val="001161B6"/>
    <w:rsid w:val="00117A19"/>
    <w:rsid w:val="00136C1A"/>
    <w:rsid w:val="0014083F"/>
    <w:rsid w:val="00141B2B"/>
    <w:rsid w:val="0014242B"/>
    <w:rsid w:val="00155412"/>
    <w:rsid w:val="001628C4"/>
    <w:rsid w:val="0017043C"/>
    <w:rsid w:val="001724EC"/>
    <w:rsid w:val="00184538"/>
    <w:rsid w:val="00190F11"/>
    <w:rsid w:val="00196097"/>
    <w:rsid w:val="0019729A"/>
    <w:rsid w:val="001A0CCB"/>
    <w:rsid w:val="001A0FB2"/>
    <w:rsid w:val="001A72E4"/>
    <w:rsid w:val="001C23E8"/>
    <w:rsid w:val="001C449A"/>
    <w:rsid w:val="001C5A2E"/>
    <w:rsid w:val="001D4A00"/>
    <w:rsid w:val="0020132F"/>
    <w:rsid w:val="00203C01"/>
    <w:rsid w:val="00205586"/>
    <w:rsid w:val="00213585"/>
    <w:rsid w:val="00224E0E"/>
    <w:rsid w:val="002260C5"/>
    <w:rsid w:val="00237CB5"/>
    <w:rsid w:val="00257E4E"/>
    <w:rsid w:val="00261A08"/>
    <w:rsid w:val="00271D0C"/>
    <w:rsid w:val="0027578E"/>
    <w:rsid w:val="002A3DF9"/>
    <w:rsid w:val="002A705E"/>
    <w:rsid w:val="002C3082"/>
    <w:rsid w:val="002C4ED5"/>
    <w:rsid w:val="002D2386"/>
    <w:rsid w:val="002E1F26"/>
    <w:rsid w:val="002F4429"/>
    <w:rsid w:val="00316489"/>
    <w:rsid w:val="00317C58"/>
    <w:rsid w:val="003333E3"/>
    <w:rsid w:val="003551D6"/>
    <w:rsid w:val="00364BD1"/>
    <w:rsid w:val="0037025F"/>
    <w:rsid w:val="00370296"/>
    <w:rsid w:val="003A6D8B"/>
    <w:rsid w:val="003B6F2A"/>
    <w:rsid w:val="003C187C"/>
    <w:rsid w:val="003D3A69"/>
    <w:rsid w:val="003E03F4"/>
    <w:rsid w:val="004125CD"/>
    <w:rsid w:val="00430808"/>
    <w:rsid w:val="00431F78"/>
    <w:rsid w:val="00463183"/>
    <w:rsid w:val="00466BD1"/>
    <w:rsid w:val="00473B62"/>
    <w:rsid w:val="00477FD1"/>
    <w:rsid w:val="00483147"/>
    <w:rsid w:val="0048341B"/>
    <w:rsid w:val="00485F64"/>
    <w:rsid w:val="00486289"/>
    <w:rsid w:val="00490D11"/>
    <w:rsid w:val="00495162"/>
    <w:rsid w:val="004A1153"/>
    <w:rsid w:val="004B17E0"/>
    <w:rsid w:val="004C4F39"/>
    <w:rsid w:val="004C5F72"/>
    <w:rsid w:val="004D04AC"/>
    <w:rsid w:val="004D51B3"/>
    <w:rsid w:val="004E23CF"/>
    <w:rsid w:val="00525A5F"/>
    <w:rsid w:val="00537114"/>
    <w:rsid w:val="00540800"/>
    <w:rsid w:val="005418D5"/>
    <w:rsid w:val="005474C8"/>
    <w:rsid w:val="005601EE"/>
    <w:rsid w:val="00583671"/>
    <w:rsid w:val="0059131A"/>
    <w:rsid w:val="00592B58"/>
    <w:rsid w:val="0059536D"/>
    <w:rsid w:val="005B188A"/>
    <w:rsid w:val="005C1693"/>
    <w:rsid w:val="005C6507"/>
    <w:rsid w:val="005C771D"/>
    <w:rsid w:val="005D002E"/>
    <w:rsid w:val="005F406C"/>
    <w:rsid w:val="0061030C"/>
    <w:rsid w:val="006142D0"/>
    <w:rsid w:val="006218DD"/>
    <w:rsid w:val="00622673"/>
    <w:rsid w:val="0064161A"/>
    <w:rsid w:val="00643BD0"/>
    <w:rsid w:val="0064785D"/>
    <w:rsid w:val="00660849"/>
    <w:rsid w:val="00670D1A"/>
    <w:rsid w:val="0067585C"/>
    <w:rsid w:val="006771D4"/>
    <w:rsid w:val="006813E0"/>
    <w:rsid w:val="00682AE4"/>
    <w:rsid w:val="00686F34"/>
    <w:rsid w:val="00691E96"/>
    <w:rsid w:val="00693CFC"/>
    <w:rsid w:val="006A5DB7"/>
    <w:rsid w:val="006F352D"/>
    <w:rsid w:val="00701F2B"/>
    <w:rsid w:val="00730212"/>
    <w:rsid w:val="00735AC8"/>
    <w:rsid w:val="00740085"/>
    <w:rsid w:val="007427D5"/>
    <w:rsid w:val="00746DA8"/>
    <w:rsid w:val="00756361"/>
    <w:rsid w:val="00762212"/>
    <w:rsid w:val="00764A6A"/>
    <w:rsid w:val="0078792D"/>
    <w:rsid w:val="007938DC"/>
    <w:rsid w:val="007E6B12"/>
    <w:rsid w:val="007E72E6"/>
    <w:rsid w:val="007F6209"/>
    <w:rsid w:val="008016E5"/>
    <w:rsid w:val="00812F32"/>
    <w:rsid w:val="008213B2"/>
    <w:rsid w:val="00831BCD"/>
    <w:rsid w:val="00837BF5"/>
    <w:rsid w:val="008402EB"/>
    <w:rsid w:val="00842FB9"/>
    <w:rsid w:val="00856B0B"/>
    <w:rsid w:val="008803B0"/>
    <w:rsid w:val="00890A63"/>
    <w:rsid w:val="00893110"/>
    <w:rsid w:val="00893D73"/>
    <w:rsid w:val="0089612F"/>
    <w:rsid w:val="008A7F26"/>
    <w:rsid w:val="008B00FD"/>
    <w:rsid w:val="008B6637"/>
    <w:rsid w:val="008D00FF"/>
    <w:rsid w:val="008D1FF2"/>
    <w:rsid w:val="008E722B"/>
    <w:rsid w:val="008E7D56"/>
    <w:rsid w:val="009143A1"/>
    <w:rsid w:val="00914781"/>
    <w:rsid w:val="00914F39"/>
    <w:rsid w:val="0092666B"/>
    <w:rsid w:val="0093266A"/>
    <w:rsid w:val="00937EBE"/>
    <w:rsid w:val="00976F58"/>
    <w:rsid w:val="00986C6A"/>
    <w:rsid w:val="0099270B"/>
    <w:rsid w:val="009A2476"/>
    <w:rsid w:val="009A7A5D"/>
    <w:rsid w:val="009B142C"/>
    <w:rsid w:val="009C21BE"/>
    <w:rsid w:val="00A01835"/>
    <w:rsid w:val="00A124E1"/>
    <w:rsid w:val="00A4464B"/>
    <w:rsid w:val="00A46E79"/>
    <w:rsid w:val="00A50142"/>
    <w:rsid w:val="00A510C3"/>
    <w:rsid w:val="00A7088A"/>
    <w:rsid w:val="00A7179C"/>
    <w:rsid w:val="00A82763"/>
    <w:rsid w:val="00A90171"/>
    <w:rsid w:val="00AA77C1"/>
    <w:rsid w:val="00AB2F76"/>
    <w:rsid w:val="00AC09F2"/>
    <w:rsid w:val="00AC5F7F"/>
    <w:rsid w:val="00AD16A0"/>
    <w:rsid w:val="00AD3F8F"/>
    <w:rsid w:val="00B10064"/>
    <w:rsid w:val="00B1374E"/>
    <w:rsid w:val="00B139A2"/>
    <w:rsid w:val="00B401E2"/>
    <w:rsid w:val="00B43D02"/>
    <w:rsid w:val="00B53EA8"/>
    <w:rsid w:val="00B555B7"/>
    <w:rsid w:val="00B56216"/>
    <w:rsid w:val="00B71E0B"/>
    <w:rsid w:val="00B83D60"/>
    <w:rsid w:val="00B87DF6"/>
    <w:rsid w:val="00B940BB"/>
    <w:rsid w:val="00BC3548"/>
    <w:rsid w:val="00C27441"/>
    <w:rsid w:val="00C740D2"/>
    <w:rsid w:val="00C948E8"/>
    <w:rsid w:val="00CA29EF"/>
    <w:rsid w:val="00CB44DD"/>
    <w:rsid w:val="00CC2618"/>
    <w:rsid w:val="00CE2114"/>
    <w:rsid w:val="00CE5424"/>
    <w:rsid w:val="00CE72C1"/>
    <w:rsid w:val="00D215E1"/>
    <w:rsid w:val="00D24037"/>
    <w:rsid w:val="00D26721"/>
    <w:rsid w:val="00D26C6F"/>
    <w:rsid w:val="00D35878"/>
    <w:rsid w:val="00D62BC8"/>
    <w:rsid w:val="00D76319"/>
    <w:rsid w:val="00D77E41"/>
    <w:rsid w:val="00D810AE"/>
    <w:rsid w:val="00D86E79"/>
    <w:rsid w:val="00D9088C"/>
    <w:rsid w:val="00DA0B28"/>
    <w:rsid w:val="00DB3B30"/>
    <w:rsid w:val="00DC49C7"/>
    <w:rsid w:val="00DD28AC"/>
    <w:rsid w:val="00DD565C"/>
    <w:rsid w:val="00DD7B24"/>
    <w:rsid w:val="00DF2AD3"/>
    <w:rsid w:val="00E033BC"/>
    <w:rsid w:val="00E148E8"/>
    <w:rsid w:val="00E2619B"/>
    <w:rsid w:val="00E31012"/>
    <w:rsid w:val="00E527F6"/>
    <w:rsid w:val="00E61EE0"/>
    <w:rsid w:val="00E62699"/>
    <w:rsid w:val="00E678E9"/>
    <w:rsid w:val="00E7079E"/>
    <w:rsid w:val="00E774C1"/>
    <w:rsid w:val="00E83E44"/>
    <w:rsid w:val="00E9771E"/>
    <w:rsid w:val="00EA02A1"/>
    <w:rsid w:val="00EB72E1"/>
    <w:rsid w:val="00EC1F07"/>
    <w:rsid w:val="00EC1FD9"/>
    <w:rsid w:val="00ED2611"/>
    <w:rsid w:val="00EE3613"/>
    <w:rsid w:val="00EF1447"/>
    <w:rsid w:val="00EF152B"/>
    <w:rsid w:val="00F00EBB"/>
    <w:rsid w:val="00F304ED"/>
    <w:rsid w:val="00F4154C"/>
    <w:rsid w:val="00F521EC"/>
    <w:rsid w:val="00F77172"/>
    <w:rsid w:val="00F82312"/>
    <w:rsid w:val="00F83BD3"/>
    <w:rsid w:val="00F9375A"/>
    <w:rsid w:val="00F977A9"/>
    <w:rsid w:val="00FA07FA"/>
    <w:rsid w:val="00FB042B"/>
    <w:rsid w:val="00FC20B7"/>
    <w:rsid w:val="00FC332A"/>
    <w:rsid w:val="00FD4C3D"/>
    <w:rsid w:val="00FD502C"/>
    <w:rsid w:val="00FE045A"/>
    <w:rsid w:val="00FF6793"/>
    <w:rsid w:val="07DF742F"/>
    <w:rsid w:val="097FAD5D"/>
    <w:rsid w:val="0FBFE167"/>
    <w:rsid w:val="12AFC2DA"/>
    <w:rsid w:val="13BDCED4"/>
    <w:rsid w:val="173E36DA"/>
    <w:rsid w:val="17DE4FCC"/>
    <w:rsid w:val="1C6F293D"/>
    <w:rsid w:val="1D9FD95C"/>
    <w:rsid w:val="1DB8C116"/>
    <w:rsid w:val="27FD25A3"/>
    <w:rsid w:val="2F7EEA11"/>
    <w:rsid w:val="32F408FB"/>
    <w:rsid w:val="367B4E63"/>
    <w:rsid w:val="36FA624B"/>
    <w:rsid w:val="37DE853D"/>
    <w:rsid w:val="37EFB941"/>
    <w:rsid w:val="37FFF20D"/>
    <w:rsid w:val="38E8B186"/>
    <w:rsid w:val="3913FAA7"/>
    <w:rsid w:val="3A1BDA82"/>
    <w:rsid w:val="3AEFD898"/>
    <w:rsid w:val="3BF7456C"/>
    <w:rsid w:val="3D7D0384"/>
    <w:rsid w:val="3DEC0274"/>
    <w:rsid w:val="3DF75F6B"/>
    <w:rsid w:val="3DFE730B"/>
    <w:rsid w:val="3EBEDE7D"/>
    <w:rsid w:val="3FD73E8C"/>
    <w:rsid w:val="3FFBB0C5"/>
    <w:rsid w:val="3FFF23B8"/>
    <w:rsid w:val="42AE57BF"/>
    <w:rsid w:val="4F2700F1"/>
    <w:rsid w:val="4F6F1513"/>
    <w:rsid w:val="4FDFA446"/>
    <w:rsid w:val="53F630DA"/>
    <w:rsid w:val="55B91B87"/>
    <w:rsid w:val="57DB0DDF"/>
    <w:rsid w:val="5E3707BA"/>
    <w:rsid w:val="5F179CF3"/>
    <w:rsid w:val="5FA7867D"/>
    <w:rsid w:val="5FD043D6"/>
    <w:rsid w:val="5FDE7835"/>
    <w:rsid w:val="5FF65B67"/>
    <w:rsid w:val="5FF703A4"/>
    <w:rsid w:val="5FFD20D9"/>
    <w:rsid w:val="671E27D5"/>
    <w:rsid w:val="6CFFF010"/>
    <w:rsid w:val="6D7FEB40"/>
    <w:rsid w:val="6EBEE57C"/>
    <w:rsid w:val="6ED9156C"/>
    <w:rsid w:val="6EF7B158"/>
    <w:rsid w:val="6F6CBB4F"/>
    <w:rsid w:val="6FA4C44B"/>
    <w:rsid w:val="6FBDEDB9"/>
    <w:rsid w:val="6FD57225"/>
    <w:rsid w:val="6FE522E5"/>
    <w:rsid w:val="6FF6968C"/>
    <w:rsid w:val="71EF2B2B"/>
    <w:rsid w:val="71FB8B99"/>
    <w:rsid w:val="732E283D"/>
    <w:rsid w:val="73558922"/>
    <w:rsid w:val="74FD2CEC"/>
    <w:rsid w:val="756EEDD6"/>
    <w:rsid w:val="76BE56A9"/>
    <w:rsid w:val="76F51B9A"/>
    <w:rsid w:val="7717AD90"/>
    <w:rsid w:val="773EC494"/>
    <w:rsid w:val="7757A953"/>
    <w:rsid w:val="779AAB99"/>
    <w:rsid w:val="77C9FB8D"/>
    <w:rsid w:val="77E716BE"/>
    <w:rsid w:val="77EB0DD3"/>
    <w:rsid w:val="77FDC256"/>
    <w:rsid w:val="78D7E3D6"/>
    <w:rsid w:val="7ADE2680"/>
    <w:rsid w:val="7B5514D3"/>
    <w:rsid w:val="7B8DC0AF"/>
    <w:rsid w:val="7B9C4644"/>
    <w:rsid w:val="7BFABA42"/>
    <w:rsid w:val="7BFF16AE"/>
    <w:rsid w:val="7D37913E"/>
    <w:rsid w:val="7D6F9B4B"/>
    <w:rsid w:val="7D77F153"/>
    <w:rsid w:val="7DEF844F"/>
    <w:rsid w:val="7EAFFCD5"/>
    <w:rsid w:val="7EE77B83"/>
    <w:rsid w:val="7EEFCC15"/>
    <w:rsid w:val="7EFFDC50"/>
    <w:rsid w:val="7F6AF866"/>
    <w:rsid w:val="7F6F214E"/>
    <w:rsid w:val="7FBF593E"/>
    <w:rsid w:val="7FBFC966"/>
    <w:rsid w:val="7FCE0237"/>
    <w:rsid w:val="7FE610AF"/>
    <w:rsid w:val="7FEF162A"/>
    <w:rsid w:val="7FF64286"/>
    <w:rsid w:val="7FF76657"/>
    <w:rsid w:val="7FFFDB42"/>
    <w:rsid w:val="8DFF99BC"/>
    <w:rsid w:val="8FF3B3B2"/>
    <w:rsid w:val="97EEF169"/>
    <w:rsid w:val="9BBFDB18"/>
    <w:rsid w:val="9BDF96BC"/>
    <w:rsid w:val="9CFE96CF"/>
    <w:rsid w:val="AF4F23D2"/>
    <w:rsid w:val="B3CF8703"/>
    <w:rsid w:val="B6ED53B8"/>
    <w:rsid w:val="B9AB90E8"/>
    <w:rsid w:val="B9F3F6E4"/>
    <w:rsid w:val="B9F3FF53"/>
    <w:rsid w:val="BBDF90A7"/>
    <w:rsid w:val="BDF6B035"/>
    <w:rsid w:val="BDFF348F"/>
    <w:rsid w:val="BEBEC94E"/>
    <w:rsid w:val="BFAC70BF"/>
    <w:rsid w:val="BFBF9B51"/>
    <w:rsid w:val="BFD28C2D"/>
    <w:rsid w:val="BFDDD120"/>
    <w:rsid w:val="BFF0EB8D"/>
    <w:rsid w:val="BFF53339"/>
    <w:rsid w:val="BFFD790C"/>
    <w:rsid w:val="C3F144C3"/>
    <w:rsid w:val="C7BF3241"/>
    <w:rsid w:val="CA55CB15"/>
    <w:rsid w:val="D8FED200"/>
    <w:rsid w:val="DB576524"/>
    <w:rsid w:val="DC23AB7B"/>
    <w:rsid w:val="DDDF07AE"/>
    <w:rsid w:val="DED0C9F9"/>
    <w:rsid w:val="DF1412A9"/>
    <w:rsid w:val="DF7E4FC8"/>
    <w:rsid w:val="DFB77897"/>
    <w:rsid w:val="DFF6F7E7"/>
    <w:rsid w:val="E2FB399B"/>
    <w:rsid w:val="E4F7E21C"/>
    <w:rsid w:val="E5F1CA9B"/>
    <w:rsid w:val="E5F3E71A"/>
    <w:rsid w:val="E7FFB6A9"/>
    <w:rsid w:val="E9FF8960"/>
    <w:rsid w:val="EAE96520"/>
    <w:rsid w:val="EB7F34AA"/>
    <w:rsid w:val="EDDB6318"/>
    <w:rsid w:val="EEFAC6CB"/>
    <w:rsid w:val="EF3DE122"/>
    <w:rsid w:val="EF46A9F7"/>
    <w:rsid w:val="EF5F7FF7"/>
    <w:rsid w:val="EF6D704F"/>
    <w:rsid w:val="EFFA518D"/>
    <w:rsid w:val="EFFB9FF6"/>
    <w:rsid w:val="EFFD0C31"/>
    <w:rsid w:val="EFFFD1C8"/>
    <w:rsid w:val="F17E6135"/>
    <w:rsid w:val="F377E9C9"/>
    <w:rsid w:val="F37EE29B"/>
    <w:rsid w:val="F3FD6527"/>
    <w:rsid w:val="F3FFE55A"/>
    <w:rsid w:val="F7B138C8"/>
    <w:rsid w:val="F9AFCB2B"/>
    <w:rsid w:val="F9EABACB"/>
    <w:rsid w:val="FAD75142"/>
    <w:rsid w:val="FBBA093E"/>
    <w:rsid w:val="FBDFE028"/>
    <w:rsid w:val="FBE7D2C9"/>
    <w:rsid w:val="FBEFC287"/>
    <w:rsid w:val="FBFD5E63"/>
    <w:rsid w:val="FC645411"/>
    <w:rsid w:val="FD0FA79B"/>
    <w:rsid w:val="FDB3BFA3"/>
    <w:rsid w:val="FDF27FFA"/>
    <w:rsid w:val="FDFE4D6F"/>
    <w:rsid w:val="FE1E9396"/>
    <w:rsid w:val="FEB7F65A"/>
    <w:rsid w:val="FED5084E"/>
    <w:rsid w:val="FEED1C69"/>
    <w:rsid w:val="FEF77D19"/>
    <w:rsid w:val="FF3D1209"/>
    <w:rsid w:val="FF4F58F8"/>
    <w:rsid w:val="FFAE1132"/>
    <w:rsid w:val="FFBE7D7F"/>
    <w:rsid w:val="FFBF0DDF"/>
    <w:rsid w:val="FFC18D44"/>
    <w:rsid w:val="FFC560A9"/>
    <w:rsid w:val="FFCF6EA3"/>
    <w:rsid w:val="FFD922C8"/>
    <w:rsid w:val="FFF6027D"/>
    <w:rsid w:val="FFFBE8F1"/>
    <w:rsid w:val="FFFF60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1"/>
    <w:semiHidden/>
    <w:unhideWhenUsed/>
    <w:qFormat/>
    <w:uiPriority w:val="99"/>
    <w:pPr>
      <w:ind w:left="100" w:leftChars="25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日期 Char"/>
    <w:basedOn w:val="8"/>
    <w:link w:val="3"/>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63</Words>
  <Characters>363</Characters>
  <Lines>1</Lines>
  <Paragraphs>1</Paragraphs>
  <TotalTime>35</TotalTime>
  <ScaleCrop>false</ScaleCrop>
  <LinksUpToDate>false</LinksUpToDate>
  <CharactersWithSpaces>425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2016-10-27T17:23:00Z</dcterms:created>
  <dc:creator>韩伟伟</dc:creator>
  <cp:lastModifiedBy>kylin</cp:lastModifiedBy>
  <cp:lastPrinted>2025-12-20T10:48:00Z</cp:lastPrinted>
  <dcterms:modified xsi:type="dcterms:W3CDTF">2025-12-26T17:03:11Z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