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ind w:firstLine="880"/>
        <w:jc w:val="center"/>
        <w:rPr>
          <w:rFonts w:hint="eastAsia" w:ascii="黑体" w:hAnsi="黑体" w:eastAsia="黑体"/>
          <w:sz w:val="44"/>
          <w:szCs w:val="44"/>
        </w:rPr>
      </w:pPr>
    </w:p>
    <w:p>
      <w:pPr>
        <w:spacing w:before="156"/>
        <w:ind w:firstLine="880"/>
        <w:jc w:val="center"/>
        <w:rPr>
          <w:rFonts w:ascii="黑体" w:hAnsi="黑体" w:eastAsia="黑体"/>
          <w:sz w:val="44"/>
          <w:szCs w:val="44"/>
        </w:rPr>
      </w:pPr>
    </w:p>
    <w:p>
      <w:pPr>
        <w:spacing w:before="156"/>
        <w:ind w:firstLine="0" w:firstLineChars="0"/>
        <w:jc w:val="center"/>
        <w:rPr>
          <w:rFonts w:ascii="黑体" w:hAnsi="黑体" w:eastAsia="黑体"/>
          <w:spacing w:val="20"/>
          <w:sz w:val="52"/>
          <w:szCs w:val="44"/>
        </w:rPr>
      </w:pPr>
      <w:r>
        <w:rPr>
          <w:rFonts w:ascii="黑体" w:hAnsi="黑体" w:eastAsia="黑体"/>
          <w:spacing w:val="20"/>
          <w:sz w:val="52"/>
          <w:szCs w:val="44"/>
        </w:rPr>
        <w:t>海南生态智慧新城起步区</w:t>
      </w:r>
    </w:p>
    <w:p>
      <w:pPr>
        <w:spacing w:before="156"/>
        <w:ind w:firstLine="0" w:firstLineChars="0"/>
        <w:jc w:val="center"/>
        <w:rPr>
          <w:rFonts w:ascii="黑体" w:hAnsi="黑体" w:eastAsia="黑体"/>
          <w:spacing w:val="20"/>
          <w:sz w:val="52"/>
          <w:szCs w:val="44"/>
        </w:rPr>
      </w:pPr>
      <w:r>
        <w:rPr>
          <w:rFonts w:ascii="黑体" w:hAnsi="黑体" w:eastAsia="黑体"/>
          <w:spacing w:val="20"/>
          <w:sz w:val="52"/>
          <w:szCs w:val="44"/>
        </w:rPr>
        <w:t>通信设施规划</w:t>
      </w: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44"/>
          <w:szCs w:val="44"/>
        </w:rPr>
      </w:pPr>
    </w:p>
    <w:p>
      <w:pPr>
        <w:spacing w:before="156"/>
        <w:ind w:firstLine="0" w:firstLineChars="0"/>
        <w:jc w:val="center"/>
        <w:rPr>
          <w:rFonts w:ascii="黑体" w:hAnsi="黑体" w:eastAsia="黑体"/>
          <w:sz w:val="32"/>
          <w:szCs w:val="44"/>
        </w:rPr>
      </w:pPr>
      <w:r>
        <w:rPr>
          <w:rFonts w:hint="eastAsia" w:ascii="黑体" w:hAnsi="黑体" w:eastAsia="黑体"/>
          <w:sz w:val="32"/>
          <w:szCs w:val="44"/>
        </w:rPr>
        <w:t>上海邮电设计咨询研究院有限公司</w:t>
      </w:r>
    </w:p>
    <w:p>
      <w:pPr>
        <w:spacing w:before="156"/>
        <w:ind w:firstLine="0" w:firstLineChars="0"/>
        <w:jc w:val="center"/>
        <w:rPr>
          <w:rFonts w:ascii="黑体" w:hAnsi="黑体" w:eastAsia="黑体"/>
          <w:sz w:val="32"/>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ascii="黑体" w:hAnsi="黑体" w:eastAsia="黑体"/>
          <w:sz w:val="32"/>
          <w:szCs w:val="44"/>
        </w:rPr>
        <w:t>二</w:t>
      </w:r>
      <w:r>
        <w:rPr>
          <w:rFonts w:hint="eastAsia" w:ascii="黑体" w:hAnsi="黑体" w:eastAsia="黑体"/>
          <w:sz w:val="32"/>
          <w:szCs w:val="44"/>
        </w:rPr>
        <w:t>〇</w:t>
      </w:r>
      <w:r>
        <w:rPr>
          <w:rFonts w:ascii="黑体" w:hAnsi="黑体" w:eastAsia="黑体"/>
          <w:sz w:val="32"/>
          <w:szCs w:val="44"/>
        </w:rPr>
        <w:t>一九年</w:t>
      </w:r>
      <w:r>
        <w:rPr>
          <w:rFonts w:hint="eastAsia" w:ascii="黑体" w:hAnsi="黑体" w:eastAsia="黑体"/>
          <w:sz w:val="32"/>
          <w:szCs w:val="44"/>
        </w:rPr>
        <w:t>十月</w:t>
      </w:r>
    </w:p>
    <w:sdt>
      <w:sdtPr>
        <w:rPr>
          <w:rFonts w:ascii="黑体" w:hAnsi="黑体" w:eastAsia="黑体" w:cstheme="minorBidi"/>
          <w:color w:val="auto"/>
          <w:kern w:val="2"/>
          <w:sz w:val="24"/>
          <w:szCs w:val="22"/>
          <w:lang w:val="zh-CN"/>
        </w:rPr>
        <w:id w:val="-2077807887"/>
        <w:docPartObj>
          <w:docPartGallery w:val="Table of Contents"/>
          <w:docPartUnique/>
        </w:docPartObj>
      </w:sdtPr>
      <w:sdtEndPr>
        <w:rPr>
          <w:rFonts w:asciiTheme="minorHAnsi" w:hAnsiTheme="minorHAnsi" w:eastAsiaTheme="minorEastAsia" w:cstheme="minorBidi"/>
          <w:b/>
          <w:bCs/>
          <w:color w:val="auto"/>
          <w:kern w:val="2"/>
          <w:sz w:val="24"/>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pPr>
          <w:r>
            <w:fldChar w:fldCharType="begin"/>
          </w:r>
          <w:r>
            <w:instrText xml:space="preserve"> TOC \o "1-3" \h \z \u </w:instrText>
          </w:r>
          <w:r>
            <w:fldChar w:fldCharType="separate"/>
          </w:r>
          <w:r>
            <w:fldChar w:fldCharType="begin"/>
          </w:r>
          <w:r>
            <w:instrText xml:space="preserve"> HYPERLINK \l _Toc1948354761 </w:instrText>
          </w:r>
          <w:r>
            <w:fldChar w:fldCharType="separate"/>
          </w:r>
          <w:r>
            <w:rPr>
              <w:rFonts w:hint="default"/>
            </w:rPr>
            <w:t xml:space="preserve">第1章 </w:t>
          </w:r>
          <w:r>
            <w:rPr>
              <w:rFonts w:hint="eastAsia"/>
            </w:rPr>
            <w:t>概述</w:t>
          </w:r>
          <w:r>
            <w:tab/>
          </w:r>
          <w:r>
            <w:fldChar w:fldCharType="begin"/>
          </w:r>
          <w:r>
            <w:instrText xml:space="preserve"> PAGEREF _Toc1948354761 </w:instrText>
          </w:r>
          <w:r>
            <w:fldChar w:fldCharType="separate"/>
          </w:r>
          <w:r>
            <w:t>1</w:t>
          </w:r>
          <w:r>
            <w:fldChar w:fldCharType="end"/>
          </w:r>
          <w:r>
            <w:fldChar w:fldCharType="end"/>
          </w:r>
        </w:p>
        <w:p>
          <w:pPr>
            <w:pStyle w:val="16"/>
            <w:tabs>
              <w:tab w:val="right" w:leader="dot" w:pos="8306"/>
            </w:tabs>
          </w:pPr>
          <w:r>
            <w:rPr>
              <w:bCs/>
              <w:lang w:val="zh-CN"/>
            </w:rPr>
            <w:fldChar w:fldCharType="begin"/>
          </w:r>
          <w:r>
            <w:rPr>
              <w:bCs/>
              <w:lang w:val="zh-CN"/>
            </w:rPr>
            <w:instrText xml:space="preserve"> HYPERLINK \l _Toc227093684 </w:instrText>
          </w:r>
          <w:r>
            <w:rPr>
              <w:bCs/>
              <w:lang w:val="zh-CN"/>
            </w:rPr>
            <w:fldChar w:fldCharType="separate"/>
          </w:r>
          <w:r>
            <w:rPr>
              <w:rFonts w:hint="eastAsia" w:ascii="黑体" w:hAnsi="黑体" w:eastAsia="黑体"/>
            </w:rPr>
            <w:t xml:space="preserve">1.1 </w:t>
          </w:r>
          <w:r>
            <w:rPr>
              <w:rFonts w:hint="eastAsia"/>
            </w:rPr>
            <w:t>规划概述</w:t>
          </w:r>
          <w:r>
            <w:tab/>
          </w:r>
          <w:r>
            <w:fldChar w:fldCharType="begin"/>
          </w:r>
          <w:r>
            <w:instrText xml:space="preserve"> PAGEREF _Toc227093684 </w:instrText>
          </w:r>
          <w:r>
            <w:fldChar w:fldCharType="separate"/>
          </w:r>
          <w:r>
            <w:t>1</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_Toc1039928729 </w:instrText>
          </w:r>
          <w:r>
            <w:rPr>
              <w:bCs/>
              <w:lang w:val="zh-CN"/>
            </w:rPr>
            <w:fldChar w:fldCharType="separate"/>
          </w:r>
          <w:r>
            <w:rPr>
              <w:rFonts w:hint="eastAsia" w:ascii="黑体" w:hAnsi="黑体" w:eastAsia="黑体"/>
            </w:rPr>
            <w:t xml:space="preserve">1.2 </w:t>
          </w:r>
          <w:r>
            <w:rPr>
              <w:rFonts w:hint="eastAsia"/>
            </w:rPr>
            <w:t>海南生态智慧新城起步区控制性详细规划解读</w:t>
          </w:r>
          <w:r>
            <w:tab/>
          </w:r>
          <w:r>
            <w:fldChar w:fldCharType="begin"/>
          </w:r>
          <w:r>
            <w:instrText xml:space="preserve"> PAGEREF _Toc1039928729 </w:instrText>
          </w:r>
          <w:r>
            <w:fldChar w:fldCharType="separate"/>
          </w:r>
          <w:r>
            <w:t>1</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_Toc176676696 </w:instrText>
          </w:r>
          <w:r>
            <w:rPr>
              <w:bCs/>
              <w:lang w:val="zh-CN"/>
            </w:rPr>
            <w:fldChar w:fldCharType="separate"/>
          </w:r>
          <w:r>
            <w:rPr>
              <w:rFonts w:hint="eastAsia"/>
            </w:rPr>
            <w:t>1.2.1. 规划期限与范围</w:t>
          </w:r>
          <w:r>
            <w:tab/>
          </w:r>
          <w:r>
            <w:fldChar w:fldCharType="begin"/>
          </w:r>
          <w:r>
            <w:instrText xml:space="preserve"> PAGEREF _Toc176676696 </w:instrText>
          </w:r>
          <w:r>
            <w:fldChar w:fldCharType="separate"/>
          </w:r>
          <w:r>
            <w:t>1</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_Toc1799134936 </w:instrText>
          </w:r>
          <w:r>
            <w:rPr>
              <w:bCs/>
              <w:lang w:val="zh-CN"/>
            </w:rPr>
            <w:fldChar w:fldCharType="separate"/>
          </w:r>
          <w:r>
            <w:rPr>
              <w:rFonts w:hint="eastAsia"/>
            </w:rPr>
            <w:t>1.2.2. 人口规模</w:t>
          </w:r>
          <w:r>
            <w:tab/>
          </w:r>
          <w:r>
            <w:fldChar w:fldCharType="begin"/>
          </w:r>
          <w:r>
            <w:instrText xml:space="preserve"> PAGEREF _Toc1799134936 </w:instrText>
          </w:r>
          <w:r>
            <w:fldChar w:fldCharType="separate"/>
          </w:r>
          <w:r>
            <w:t>2</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_Toc960454616 </w:instrText>
          </w:r>
          <w:r>
            <w:rPr>
              <w:bCs/>
              <w:lang w:val="zh-CN"/>
            </w:rPr>
            <w:fldChar w:fldCharType="separate"/>
          </w:r>
          <w:r>
            <w:rPr>
              <w:rFonts w:hint="eastAsia"/>
            </w:rPr>
            <w:t>1.2.3. 用地规模</w:t>
          </w:r>
          <w:r>
            <w:tab/>
          </w:r>
          <w:r>
            <w:fldChar w:fldCharType="begin"/>
          </w:r>
          <w:r>
            <w:instrText xml:space="preserve"> PAGEREF _Toc960454616 </w:instrText>
          </w:r>
          <w:r>
            <w:fldChar w:fldCharType="separate"/>
          </w:r>
          <w:r>
            <w:t>2</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_Toc2027419931 </w:instrText>
          </w:r>
          <w:r>
            <w:rPr>
              <w:bCs/>
              <w:lang w:val="zh-CN"/>
            </w:rPr>
            <w:fldChar w:fldCharType="separate"/>
          </w:r>
          <w:r>
            <w:rPr>
              <w:rFonts w:hint="eastAsia"/>
            </w:rPr>
            <w:t>1.2.4. 产业布局</w:t>
          </w:r>
          <w:r>
            <w:tab/>
          </w:r>
          <w:r>
            <w:fldChar w:fldCharType="begin"/>
          </w:r>
          <w:r>
            <w:instrText xml:space="preserve"> PAGEREF _Toc2027419931 </w:instrText>
          </w:r>
          <w:r>
            <w:fldChar w:fldCharType="separate"/>
          </w:r>
          <w:r>
            <w:t>2</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_Toc1856065433 </w:instrText>
          </w:r>
          <w:r>
            <w:rPr>
              <w:bCs/>
              <w:lang w:val="zh-CN"/>
            </w:rPr>
            <w:fldChar w:fldCharType="separate"/>
          </w:r>
          <w:r>
            <w:rPr>
              <w:rFonts w:hint="eastAsia"/>
            </w:rPr>
            <w:t>1.2.5. 项目开发进展</w:t>
          </w:r>
          <w:r>
            <w:tab/>
          </w:r>
          <w:r>
            <w:fldChar w:fldCharType="begin"/>
          </w:r>
          <w:r>
            <w:instrText xml:space="preserve"> PAGEREF _Toc1856065433 </w:instrText>
          </w:r>
          <w:r>
            <w:fldChar w:fldCharType="separate"/>
          </w:r>
          <w:r>
            <w:t>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_Toc146342993 </w:instrText>
          </w:r>
          <w:r>
            <w:rPr>
              <w:bCs/>
              <w:lang w:val="zh-CN"/>
            </w:rPr>
            <w:fldChar w:fldCharType="separate"/>
          </w:r>
          <w:r>
            <w:rPr>
              <w:rFonts w:hint="default"/>
            </w:rPr>
            <w:t xml:space="preserve">第2章 </w:t>
          </w:r>
          <w:r>
            <w:t>通信基础设施规划总则</w:t>
          </w:r>
          <w:r>
            <w:tab/>
          </w:r>
          <w:r>
            <w:fldChar w:fldCharType="begin"/>
          </w:r>
          <w:r>
            <w:instrText xml:space="preserve"> PAGEREF _Toc146342993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_Toc2069297383 </w:instrText>
          </w:r>
          <w:r>
            <w:rPr>
              <w:bCs/>
              <w:lang w:val="zh-CN"/>
            </w:rPr>
            <w:fldChar w:fldCharType="separate"/>
          </w:r>
          <w:r>
            <w:rPr>
              <w:rFonts w:hint="eastAsia" w:ascii="黑体" w:hAnsi="黑体" w:eastAsia="黑体"/>
            </w:rPr>
            <w:t xml:space="preserve">2.1 </w:t>
          </w:r>
          <w:r>
            <w:t>规划范围</w:t>
          </w:r>
          <w:r>
            <w:tab/>
          </w:r>
          <w:r>
            <w:fldChar w:fldCharType="begin"/>
          </w:r>
          <w:r>
            <w:instrText xml:space="preserve"> PAGEREF _Toc2069297383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_Toc1428363719 </w:instrText>
          </w:r>
          <w:r>
            <w:rPr>
              <w:bCs/>
              <w:lang w:val="zh-CN"/>
            </w:rPr>
            <w:fldChar w:fldCharType="separate"/>
          </w:r>
          <w:r>
            <w:rPr>
              <w:rFonts w:hint="eastAsia" w:ascii="黑体" w:hAnsi="黑体" w:eastAsia="黑体"/>
            </w:rPr>
            <w:t xml:space="preserve">2.2 </w:t>
          </w:r>
          <w:r>
            <w:t>规划年限</w:t>
          </w:r>
          <w:r>
            <w:tab/>
          </w:r>
          <w:r>
            <w:fldChar w:fldCharType="begin"/>
          </w:r>
          <w:r>
            <w:instrText xml:space="preserve"> PAGEREF _Toc1428363719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_Toc2114236874 </w:instrText>
          </w:r>
          <w:r>
            <w:rPr>
              <w:bCs/>
              <w:lang w:val="zh-CN"/>
            </w:rPr>
            <w:fldChar w:fldCharType="separate"/>
          </w:r>
          <w:r>
            <w:rPr>
              <w:rFonts w:hint="eastAsia" w:ascii="黑体" w:hAnsi="黑体" w:eastAsia="黑体"/>
            </w:rPr>
            <w:t xml:space="preserve">2.3 </w:t>
          </w:r>
          <w:r>
            <w:t>规划依据</w:t>
          </w:r>
          <w:r>
            <w:tab/>
          </w:r>
          <w:r>
            <w:fldChar w:fldCharType="begin"/>
          </w:r>
          <w:r>
            <w:instrText xml:space="preserve"> PAGEREF _Toc2114236874 </w:instrText>
          </w:r>
          <w:r>
            <w:fldChar w:fldCharType="separate"/>
          </w:r>
          <w:r>
            <w:t>8</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_Toc1539704241 </w:instrText>
          </w:r>
          <w:r>
            <w:rPr>
              <w:bCs/>
              <w:lang w:val="zh-CN"/>
            </w:rPr>
            <w:fldChar w:fldCharType="separate"/>
          </w:r>
          <w:r>
            <w:t>2.3.1. 相关法规与政策文件</w:t>
          </w:r>
          <w:r>
            <w:tab/>
          </w:r>
          <w:r>
            <w:fldChar w:fldCharType="begin"/>
          </w:r>
          <w:r>
            <w:instrText xml:space="preserve"> PAGEREF _Toc1539704241 </w:instrText>
          </w:r>
          <w:r>
            <w:fldChar w:fldCharType="separate"/>
          </w:r>
          <w:r>
            <w:t>8</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_Toc1999452594 </w:instrText>
          </w:r>
          <w:r>
            <w:rPr>
              <w:bCs/>
              <w:lang w:val="zh-CN"/>
            </w:rPr>
            <w:fldChar w:fldCharType="separate"/>
          </w:r>
          <w:r>
            <w:t>2.3.2. 相关标准和规范</w:t>
          </w:r>
          <w:r>
            <w:tab/>
          </w:r>
          <w:r>
            <w:fldChar w:fldCharType="begin"/>
          </w:r>
          <w:r>
            <w:instrText xml:space="preserve"> PAGEREF _Toc1999452594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_Toc1802568868 </w:instrText>
          </w:r>
          <w:r>
            <w:rPr>
              <w:bCs/>
              <w:lang w:val="zh-CN"/>
            </w:rPr>
            <w:fldChar w:fldCharType="separate"/>
          </w:r>
          <w:r>
            <w:rPr>
              <w:rFonts w:hint="eastAsia" w:ascii="黑体" w:hAnsi="黑体" w:eastAsia="黑体"/>
            </w:rPr>
            <w:t xml:space="preserve">2.4 </w:t>
          </w:r>
          <w:r>
            <w:t>规划原则</w:t>
          </w:r>
          <w:r>
            <w:tab/>
          </w:r>
          <w:r>
            <w:fldChar w:fldCharType="begin"/>
          </w:r>
          <w:r>
            <w:instrText xml:space="preserve"> PAGEREF _Toc1802568868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_Toc620571737 </w:instrText>
          </w:r>
          <w:r>
            <w:rPr>
              <w:bCs/>
              <w:lang w:val="zh-CN"/>
            </w:rPr>
            <w:fldChar w:fldCharType="separate"/>
          </w:r>
          <w:r>
            <w:rPr>
              <w:rFonts w:hint="eastAsia" w:ascii="黑体" w:hAnsi="黑体" w:eastAsia="黑体"/>
            </w:rPr>
            <w:t xml:space="preserve">2.5 </w:t>
          </w:r>
          <w:r>
            <w:rPr>
              <w:rFonts w:hint="eastAsia"/>
            </w:rPr>
            <w:t>规划目标</w:t>
          </w:r>
          <w:r>
            <w:tab/>
          </w:r>
          <w:r>
            <w:fldChar w:fldCharType="begin"/>
          </w:r>
          <w:r>
            <w:instrText xml:space="preserve"> PAGEREF _Toc620571737 </w:instrText>
          </w:r>
          <w:r>
            <w:fldChar w:fldCharType="separate"/>
          </w:r>
          <w:r>
            <w:t>10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_Toc1658838612 </w:instrText>
          </w:r>
          <w:r>
            <w:rPr>
              <w:bCs/>
              <w:lang w:val="zh-CN"/>
            </w:rPr>
            <w:fldChar w:fldCharType="separate"/>
          </w:r>
          <w:r>
            <w:rPr>
              <w:rFonts w:hint="default"/>
            </w:rPr>
            <w:t xml:space="preserve">第3章 </w:t>
          </w:r>
          <w:r>
            <w:rPr>
              <w:rFonts w:hint="eastAsia"/>
            </w:rPr>
            <w:t>业务需求分析</w:t>
          </w:r>
          <w:r>
            <w:tab/>
          </w:r>
          <w:r>
            <w:fldChar w:fldCharType="begin"/>
          </w:r>
          <w:r>
            <w:instrText xml:space="preserve"> PAGEREF _Toc1658838612 </w:instrText>
          </w:r>
          <w:r>
            <w:fldChar w:fldCharType="separate"/>
          </w:r>
          <w:r>
            <w:t>12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_Toc1553995063 </w:instrText>
          </w:r>
          <w:r>
            <w:rPr>
              <w:bCs/>
              <w:lang w:val="zh-CN"/>
            </w:rPr>
            <w:fldChar w:fldCharType="separate"/>
          </w:r>
          <w:r>
            <w:rPr>
              <w:rFonts w:hint="eastAsia" w:ascii="黑体" w:hAnsi="黑体" w:eastAsia="黑体"/>
            </w:rPr>
            <w:t xml:space="preserve">3.1 </w:t>
          </w:r>
          <w:r>
            <w:rPr>
              <w:rFonts w:hint="eastAsia"/>
            </w:rPr>
            <w:t>园区产业对通信基础设施的需求</w:t>
          </w:r>
          <w:r>
            <w:tab/>
          </w:r>
          <w:r>
            <w:fldChar w:fldCharType="begin"/>
          </w:r>
          <w:r>
            <w:instrText xml:space="preserve"> PAGEREF _Toc1553995063 </w:instrText>
          </w:r>
          <w:r>
            <w:fldChar w:fldCharType="separate"/>
          </w:r>
          <w:r>
            <w:t>12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_Toc1888100473 </w:instrText>
          </w:r>
          <w:r>
            <w:rPr>
              <w:bCs/>
              <w:lang w:val="zh-CN"/>
            </w:rPr>
            <w:fldChar w:fldCharType="separate"/>
          </w:r>
          <w:r>
            <w:rPr>
              <w:rFonts w:hint="eastAsia" w:ascii="黑体" w:hAnsi="黑体" w:eastAsia="黑体"/>
            </w:rPr>
            <w:t xml:space="preserve">3.2 </w:t>
          </w:r>
          <w:r>
            <w:rPr>
              <w:rFonts w:hint="eastAsia"/>
            </w:rPr>
            <w:t>业务用户预测</w:t>
          </w:r>
          <w:r>
            <w:tab/>
          </w:r>
          <w:r>
            <w:fldChar w:fldCharType="begin"/>
          </w:r>
          <w:r>
            <w:instrText xml:space="preserve"> PAGEREF _Toc1888100473 </w:instrText>
          </w:r>
          <w:r>
            <w:fldChar w:fldCharType="separate"/>
          </w:r>
          <w:r>
            <w:t>13</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_Toc582504799 </w:instrText>
          </w:r>
          <w:r>
            <w:rPr>
              <w:bCs/>
              <w:lang w:val="zh-CN"/>
            </w:rPr>
            <w:fldChar w:fldCharType="separate"/>
          </w:r>
          <w:r>
            <w:rPr>
              <w:rFonts w:hint="eastAsia" w:ascii="黑体" w:hAnsi="黑体" w:eastAsia="黑体"/>
            </w:rPr>
            <w:t xml:space="preserve">3.3 </w:t>
          </w:r>
          <w:r>
            <w:rPr>
              <w:rFonts w:hint="eastAsia"/>
            </w:rPr>
            <w:t>业务流量预测</w:t>
          </w:r>
          <w:r>
            <w:tab/>
          </w:r>
          <w:r>
            <w:fldChar w:fldCharType="begin"/>
          </w:r>
          <w:r>
            <w:instrText xml:space="preserve"> PAGEREF _Toc582504799 </w:instrText>
          </w:r>
          <w:r>
            <w:fldChar w:fldCharType="separate"/>
          </w:r>
          <w:r>
            <w:t>14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_Toc2021459541 </w:instrText>
          </w:r>
          <w:r>
            <w:rPr>
              <w:bCs/>
              <w:lang w:val="zh-CN"/>
            </w:rPr>
            <w:fldChar w:fldCharType="separate"/>
          </w:r>
          <w:r>
            <w:rPr>
              <w:rFonts w:hint="default"/>
            </w:rPr>
            <w:t xml:space="preserve">第4章 </w:t>
          </w:r>
          <w:r>
            <w:rPr>
              <w:rFonts w:hint="eastAsia"/>
            </w:rPr>
            <w:t>现状分析</w:t>
          </w:r>
          <w:r>
            <w:tab/>
          </w:r>
          <w:r>
            <w:fldChar w:fldCharType="begin"/>
          </w:r>
          <w:r>
            <w:instrText xml:space="preserve"> PAGEREF _Toc2021459541 </w:instrText>
          </w:r>
          <w:r>
            <w:fldChar w:fldCharType="separate"/>
          </w:r>
          <w:r>
            <w:t>15</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_Toc430840636 </w:instrText>
          </w:r>
          <w:r>
            <w:rPr>
              <w:bCs/>
              <w:lang w:val="zh-CN"/>
            </w:rPr>
            <w:fldChar w:fldCharType="separate"/>
          </w:r>
          <w:r>
            <w:rPr>
              <w:rFonts w:hint="eastAsia" w:ascii="黑体" w:hAnsi="黑体" w:eastAsia="黑体"/>
            </w:rPr>
            <w:t xml:space="preserve">4.1 </w:t>
          </w:r>
          <w:r>
            <w:rPr>
              <w:rFonts w:hint="eastAsia"/>
            </w:rPr>
            <w:t>无线网现状</w:t>
          </w:r>
          <w:r>
            <w:tab/>
          </w:r>
          <w:r>
            <w:fldChar w:fldCharType="begin"/>
          </w:r>
          <w:r>
            <w:instrText xml:space="preserve"> PAGEREF _Toc430840636 </w:instrText>
          </w:r>
          <w:r>
            <w:fldChar w:fldCharType="separate"/>
          </w:r>
          <w:r>
            <w:t>15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_Toc451875652 </w:instrText>
          </w:r>
          <w:r>
            <w:rPr>
              <w:bCs/>
              <w:lang w:val="zh-CN"/>
            </w:rPr>
            <w:fldChar w:fldCharType="separate"/>
          </w:r>
          <w:r>
            <w:t xml:space="preserve">4.1.1. </w:t>
          </w:r>
          <w:r>
            <w:rPr>
              <w:rFonts w:hint="eastAsia"/>
            </w:rPr>
            <w:t>铁塔物理站址现状</w:t>
          </w:r>
          <w:r>
            <w:tab/>
          </w:r>
          <w:r>
            <w:fldChar w:fldCharType="begin"/>
          </w:r>
          <w:r>
            <w:instrText xml:space="preserve"> PAGEREF _Toc451875652 </w:instrText>
          </w:r>
          <w:r>
            <w:fldChar w:fldCharType="separate"/>
          </w:r>
          <w:r>
            <w:t>15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_Toc896303117 </w:instrText>
          </w:r>
          <w:r>
            <w:rPr>
              <w:bCs/>
              <w:lang w:val="zh-CN"/>
            </w:rPr>
            <w:fldChar w:fldCharType="separate"/>
          </w:r>
          <w:r>
            <w:t xml:space="preserve">4.1.2. </w:t>
          </w:r>
          <w:r>
            <w:rPr>
              <w:rFonts w:hint="eastAsia"/>
            </w:rPr>
            <w:t>运营商站点情况</w:t>
          </w:r>
          <w:r>
            <w:tab/>
          </w:r>
          <w:r>
            <w:fldChar w:fldCharType="begin"/>
          </w:r>
          <w:r>
            <w:instrText xml:space="preserve"> PAGEREF _Toc896303117 </w:instrText>
          </w:r>
          <w:r>
            <w:fldChar w:fldCharType="separate"/>
          </w:r>
          <w:r>
            <w:t>17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_Toc336022582 </w:instrText>
          </w:r>
          <w:r>
            <w:rPr>
              <w:bCs/>
              <w:lang w:val="zh-CN"/>
            </w:rPr>
            <w:fldChar w:fldCharType="separate"/>
          </w:r>
          <w:r>
            <w:rPr>
              <w:rFonts w:hint="eastAsia" w:ascii="黑体" w:hAnsi="黑体" w:eastAsia="黑体"/>
            </w:rPr>
            <w:t xml:space="preserve">4.2 </w:t>
          </w:r>
          <w:r>
            <w:rPr>
              <w:rFonts w:hint="eastAsia"/>
            </w:rPr>
            <w:t>通信局房现状</w:t>
          </w:r>
          <w:r>
            <w:tab/>
          </w:r>
          <w:r>
            <w:fldChar w:fldCharType="begin"/>
          </w:r>
          <w:r>
            <w:instrText xml:space="preserve"> PAGEREF _Toc336022582 </w:instrText>
          </w:r>
          <w:r>
            <w:fldChar w:fldCharType="separate"/>
          </w:r>
          <w:r>
            <w:t>18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_Toc1334029950 </w:instrText>
          </w:r>
          <w:r>
            <w:rPr>
              <w:bCs/>
              <w:lang w:val="zh-CN"/>
            </w:rPr>
            <w:fldChar w:fldCharType="separate"/>
          </w:r>
          <w:r>
            <w:rPr>
              <w:rFonts w:hint="eastAsia" w:ascii="黑体" w:hAnsi="黑体" w:eastAsia="黑体"/>
            </w:rPr>
            <w:t xml:space="preserve">4.3 </w:t>
          </w:r>
          <w:r>
            <w:rPr>
              <w:rFonts w:hint="eastAsia"/>
            </w:rPr>
            <w:t>通信管道现状</w:t>
          </w:r>
          <w:r>
            <w:tab/>
          </w:r>
          <w:r>
            <w:fldChar w:fldCharType="begin"/>
          </w:r>
          <w:r>
            <w:instrText xml:space="preserve"> PAGEREF _Toc1334029950 </w:instrText>
          </w:r>
          <w:r>
            <w:fldChar w:fldCharType="separate"/>
          </w:r>
          <w:r>
            <w:t>19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_Toc642280068 </w:instrText>
          </w:r>
          <w:r>
            <w:rPr>
              <w:bCs/>
              <w:lang w:val="zh-CN"/>
            </w:rPr>
            <w:fldChar w:fldCharType="separate"/>
          </w:r>
          <w:r>
            <w:rPr>
              <w:rFonts w:hint="eastAsia" w:ascii="黑体" w:hAnsi="黑体" w:eastAsia="黑体"/>
            </w:rPr>
            <w:t xml:space="preserve">4.4 </w:t>
          </w:r>
          <w:r>
            <w:rPr>
              <w:rFonts w:hint="eastAsia"/>
            </w:rPr>
            <w:t>通信光缆现状</w:t>
          </w:r>
          <w:r>
            <w:tab/>
          </w:r>
          <w:r>
            <w:fldChar w:fldCharType="begin"/>
          </w:r>
          <w:r>
            <w:instrText xml:space="preserve"> PAGEREF _Toc642280068 </w:instrText>
          </w:r>
          <w:r>
            <w:fldChar w:fldCharType="separate"/>
          </w:r>
          <w:r>
            <w:t>21</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_Toc1651389984 </w:instrText>
          </w:r>
          <w:r>
            <w:rPr>
              <w:bCs/>
              <w:lang w:val="zh-CN"/>
            </w:rPr>
            <w:fldChar w:fldCharType="separate"/>
          </w:r>
          <w:r>
            <w:rPr>
              <w:rFonts w:hint="default"/>
            </w:rPr>
            <w:t xml:space="preserve">第5章 </w:t>
          </w:r>
          <w:r>
            <w:rPr>
              <w:rFonts w:hint="eastAsia"/>
            </w:rPr>
            <w:t>规划思路与原则</w:t>
          </w:r>
          <w:r>
            <w:tab/>
          </w:r>
          <w:r>
            <w:fldChar w:fldCharType="begin"/>
          </w:r>
          <w:r>
            <w:instrText xml:space="preserve"> PAGEREF _Toc1651389984 </w:instrText>
          </w:r>
          <w:r>
            <w:fldChar w:fldCharType="separate"/>
          </w:r>
          <w:r>
            <w:t>22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_Toc1407710820 </w:instrText>
          </w:r>
          <w:r>
            <w:rPr>
              <w:bCs/>
              <w:lang w:val="zh-CN"/>
            </w:rPr>
            <w:fldChar w:fldCharType="separate"/>
          </w:r>
          <w:r>
            <w:rPr>
              <w:rFonts w:hint="eastAsia" w:ascii="黑体" w:hAnsi="黑体" w:eastAsia="黑体"/>
            </w:rPr>
            <w:t xml:space="preserve">5.1 </w:t>
          </w:r>
          <w:r>
            <w:rPr>
              <w:rFonts w:hint="eastAsia"/>
            </w:rPr>
            <w:t>无线网规划原则</w:t>
          </w:r>
          <w:r>
            <w:tab/>
          </w:r>
          <w:r>
            <w:fldChar w:fldCharType="begin"/>
          </w:r>
          <w:r>
            <w:instrText xml:space="preserve"> PAGEREF _Toc1407710820 </w:instrText>
          </w:r>
          <w:r>
            <w:fldChar w:fldCharType="separate"/>
          </w:r>
          <w:r>
            <w:t>22</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_Toc529139312 </w:instrText>
          </w:r>
          <w:r>
            <w:rPr>
              <w:bCs/>
              <w:lang w:val="zh-CN"/>
            </w:rPr>
            <w:fldChar w:fldCharType="separate"/>
          </w:r>
          <w:r>
            <w:t xml:space="preserve">5.1.1. </w:t>
          </w:r>
          <w:r>
            <w:rPr>
              <w:rFonts w:hint="eastAsia"/>
            </w:rPr>
            <w:t>基站选址原则</w:t>
          </w:r>
          <w:r>
            <w:tab/>
          </w:r>
          <w:r>
            <w:fldChar w:fldCharType="begin"/>
          </w:r>
          <w:r>
            <w:instrText xml:space="preserve"> PAGEREF _Toc529139312 </w:instrText>
          </w:r>
          <w:r>
            <w:fldChar w:fldCharType="separate"/>
          </w:r>
          <w:r>
            <w:t>22</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_Toc861309188 </w:instrText>
          </w:r>
          <w:r>
            <w:rPr>
              <w:bCs/>
              <w:lang w:val="zh-CN"/>
            </w:rPr>
            <w:fldChar w:fldCharType="separate"/>
          </w:r>
          <w:r>
            <w:t xml:space="preserve">5.1.2. </w:t>
          </w:r>
          <w:r>
            <w:rPr>
              <w:rFonts w:hint="eastAsia"/>
            </w:rPr>
            <w:t>站间距要求</w:t>
          </w:r>
          <w:r>
            <w:tab/>
          </w:r>
          <w:r>
            <w:fldChar w:fldCharType="begin"/>
          </w:r>
          <w:r>
            <w:instrText xml:space="preserve"> PAGEREF _Toc861309188 </w:instrText>
          </w:r>
          <w:r>
            <w:fldChar w:fldCharType="separate"/>
          </w:r>
          <w:r>
            <w:t>23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_Toc1208581933 </w:instrText>
          </w:r>
          <w:r>
            <w:rPr>
              <w:bCs/>
              <w:lang w:val="zh-CN"/>
            </w:rPr>
            <w:fldChar w:fldCharType="separate"/>
          </w:r>
          <w:r>
            <w:t xml:space="preserve">5.1.3. </w:t>
          </w:r>
          <w:r>
            <w:rPr>
              <w:rFonts w:hint="eastAsia"/>
            </w:rPr>
            <w:t>5G规划原则</w:t>
          </w:r>
          <w:r>
            <w:tab/>
          </w:r>
          <w:r>
            <w:fldChar w:fldCharType="begin"/>
          </w:r>
          <w:r>
            <w:instrText xml:space="preserve"> PAGEREF _Toc1208581933 </w:instrText>
          </w:r>
          <w:r>
            <w:fldChar w:fldCharType="separate"/>
          </w:r>
          <w:r>
            <w:t>24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_Toc756232997 </w:instrText>
          </w:r>
          <w:r>
            <w:rPr>
              <w:bCs/>
              <w:lang w:val="zh-CN"/>
            </w:rPr>
            <w:fldChar w:fldCharType="separate"/>
          </w:r>
          <w:r>
            <w:rPr>
              <w:rFonts w:hint="eastAsia" w:ascii="黑体" w:hAnsi="黑体" w:eastAsia="黑体"/>
            </w:rPr>
            <w:t xml:space="preserve">5.2 </w:t>
          </w:r>
          <w:r>
            <w:t>室内覆盖规划原则</w:t>
          </w:r>
          <w:r>
            <w:tab/>
          </w:r>
          <w:r>
            <w:fldChar w:fldCharType="begin"/>
          </w:r>
          <w:r>
            <w:instrText xml:space="preserve"> PAGEREF _Toc756232997 </w:instrText>
          </w:r>
          <w:r>
            <w:fldChar w:fldCharType="separate"/>
          </w:r>
          <w:r>
            <w:t>25</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_Toc1901237917 </w:instrText>
          </w:r>
          <w:r>
            <w:rPr>
              <w:bCs/>
              <w:lang w:val="zh-CN"/>
            </w:rPr>
            <w:fldChar w:fldCharType="separate"/>
          </w:r>
          <w:r>
            <w:rPr>
              <w:rFonts w:hint="eastAsia" w:ascii="黑体" w:hAnsi="黑体" w:eastAsia="黑体"/>
            </w:rPr>
            <w:t xml:space="preserve">5.3 </w:t>
          </w:r>
          <w:r>
            <w:rPr>
              <w:rFonts w:hint="eastAsia"/>
            </w:rPr>
            <w:t>通信局房规划原则</w:t>
          </w:r>
          <w:r>
            <w:tab/>
          </w:r>
          <w:r>
            <w:fldChar w:fldCharType="begin"/>
          </w:r>
          <w:r>
            <w:instrText xml:space="preserve"> PAGEREF _Toc1901237917 </w:instrText>
          </w:r>
          <w:r>
            <w:fldChar w:fldCharType="separate"/>
          </w:r>
          <w:r>
            <w:t>27</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_Toc1385258630 </w:instrText>
          </w:r>
          <w:r>
            <w:rPr>
              <w:bCs/>
              <w:lang w:val="zh-CN"/>
            </w:rPr>
            <w:fldChar w:fldCharType="separate"/>
          </w:r>
          <w:r>
            <w:t xml:space="preserve">5.3.1. </w:t>
          </w:r>
          <w:r>
            <w:rPr>
              <w:rFonts w:hint="eastAsia"/>
            </w:rPr>
            <w:t>一般性要求</w:t>
          </w:r>
          <w:r>
            <w:tab/>
          </w:r>
          <w:r>
            <w:fldChar w:fldCharType="begin"/>
          </w:r>
          <w:r>
            <w:instrText xml:space="preserve"> PAGEREF _Toc1385258630 </w:instrText>
          </w:r>
          <w:r>
            <w:fldChar w:fldCharType="separate"/>
          </w:r>
          <w:r>
            <w:t>27</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_Toc407884285 </w:instrText>
          </w:r>
          <w:r>
            <w:rPr>
              <w:bCs/>
              <w:lang w:val="zh-CN"/>
            </w:rPr>
            <w:fldChar w:fldCharType="separate"/>
          </w:r>
          <w:r>
            <w:t xml:space="preserve">5.3.2. </w:t>
          </w:r>
          <w:r>
            <w:rPr>
              <w:rFonts w:hint="eastAsia"/>
            </w:rPr>
            <w:t>汇聚机房规划思路和原则</w:t>
          </w:r>
          <w:r>
            <w:tab/>
          </w:r>
          <w:r>
            <w:fldChar w:fldCharType="begin"/>
          </w:r>
          <w:r>
            <w:instrText xml:space="preserve"> PAGEREF _Toc407884285 </w:instrText>
          </w:r>
          <w:r>
            <w:fldChar w:fldCharType="separate"/>
          </w:r>
          <w:r>
            <w:t>30</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_Toc714208885 </w:instrText>
          </w:r>
          <w:r>
            <w:rPr>
              <w:bCs/>
              <w:lang w:val="zh-CN"/>
            </w:rPr>
            <w:fldChar w:fldCharType="separate"/>
          </w:r>
          <w:r>
            <w:rPr>
              <w:rFonts w:hint="eastAsia"/>
            </w:rPr>
            <w:t>5.3.3. 综合业务接入机房规划思路和原则</w:t>
          </w:r>
          <w:r>
            <w:tab/>
          </w:r>
          <w:r>
            <w:fldChar w:fldCharType="begin"/>
          </w:r>
          <w:r>
            <w:instrText xml:space="preserve"> PAGEREF _Toc714208885 </w:instrText>
          </w:r>
          <w:r>
            <w:fldChar w:fldCharType="separate"/>
          </w:r>
          <w:r>
            <w:t>30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_Toc1265194913 </w:instrText>
          </w:r>
          <w:r>
            <w:rPr>
              <w:bCs/>
              <w:lang w:val="zh-CN"/>
            </w:rPr>
            <w:fldChar w:fldCharType="separate"/>
          </w:r>
          <w:r>
            <w:rPr>
              <w:rFonts w:hint="eastAsia" w:ascii="黑体" w:hAnsi="黑体" w:eastAsia="黑体"/>
            </w:rPr>
            <w:t xml:space="preserve">5.4 </w:t>
          </w:r>
          <w:r>
            <w:rPr>
              <w:rFonts w:hint="eastAsia"/>
            </w:rPr>
            <w:t>通信管道规划原则</w:t>
          </w:r>
          <w:r>
            <w:tab/>
          </w:r>
          <w:r>
            <w:fldChar w:fldCharType="begin"/>
          </w:r>
          <w:r>
            <w:instrText xml:space="preserve"> PAGEREF _Toc1265194913 </w:instrText>
          </w:r>
          <w:r>
            <w:fldChar w:fldCharType="separate"/>
          </w:r>
          <w:r>
            <w:t>31</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_Toc116466070 </w:instrText>
          </w:r>
          <w:r>
            <w:rPr>
              <w:bCs/>
              <w:lang w:val="zh-CN"/>
            </w:rPr>
            <w:fldChar w:fldCharType="separate"/>
          </w:r>
          <w:r>
            <w:rPr>
              <w:rFonts w:hint="eastAsia" w:ascii="黑体" w:hAnsi="黑体" w:eastAsia="黑体"/>
            </w:rPr>
            <w:t xml:space="preserve">5.5 </w:t>
          </w:r>
          <w:r>
            <w:rPr>
              <w:rFonts w:hint="eastAsia"/>
            </w:rPr>
            <w:t>光缆规划原则</w:t>
          </w:r>
          <w:r>
            <w:tab/>
          </w:r>
          <w:r>
            <w:fldChar w:fldCharType="begin"/>
          </w:r>
          <w:r>
            <w:instrText xml:space="preserve"> PAGEREF _Toc116466070 </w:instrText>
          </w:r>
          <w:r>
            <w:fldChar w:fldCharType="separate"/>
          </w:r>
          <w:r>
            <w:t>31</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_Toc860551878 </w:instrText>
          </w:r>
          <w:r>
            <w:rPr>
              <w:bCs/>
              <w:lang w:val="zh-CN"/>
            </w:rPr>
            <w:fldChar w:fldCharType="separate"/>
          </w:r>
          <w:r>
            <w:t>5.5.1. 光缆规划总体原则</w:t>
          </w:r>
          <w:r>
            <w:tab/>
          </w:r>
          <w:r>
            <w:fldChar w:fldCharType="begin"/>
          </w:r>
          <w:r>
            <w:instrText xml:space="preserve"> PAGEREF _Toc860551878 </w:instrText>
          </w:r>
          <w:r>
            <w:fldChar w:fldCharType="separate"/>
          </w:r>
          <w:r>
            <w:t>32</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_Toc1187008648 </w:instrText>
          </w:r>
          <w:r>
            <w:rPr>
              <w:bCs/>
              <w:lang w:val="zh-CN"/>
            </w:rPr>
            <w:fldChar w:fldCharType="separate"/>
          </w:r>
          <w:r>
            <w:t xml:space="preserve">5.5.2. </w:t>
          </w:r>
          <w:r>
            <w:rPr>
              <w:rFonts w:hint="eastAsia"/>
            </w:rPr>
            <w:t>核心汇聚层光缆建设原则</w:t>
          </w:r>
          <w:r>
            <w:tab/>
          </w:r>
          <w:r>
            <w:fldChar w:fldCharType="begin"/>
          </w:r>
          <w:r>
            <w:instrText xml:space="preserve"> PAGEREF _Toc1187008648 </w:instrText>
          </w:r>
          <w:r>
            <w:fldChar w:fldCharType="separate"/>
          </w:r>
          <w:r>
            <w:t>33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_Toc1544829789 </w:instrText>
          </w:r>
          <w:r>
            <w:rPr>
              <w:bCs/>
              <w:lang w:val="zh-CN"/>
            </w:rPr>
            <w:fldChar w:fldCharType="separate"/>
          </w:r>
          <w:r>
            <w:t xml:space="preserve">5.5.3. </w:t>
          </w:r>
          <w:r>
            <w:rPr>
              <w:rFonts w:hint="eastAsia"/>
            </w:rPr>
            <w:t>接入主干光缆建设原则</w:t>
          </w:r>
          <w:r>
            <w:tab/>
          </w:r>
          <w:r>
            <w:fldChar w:fldCharType="begin"/>
          </w:r>
          <w:r>
            <w:instrText xml:space="preserve"> PAGEREF _Toc1544829789 </w:instrText>
          </w:r>
          <w:r>
            <w:fldChar w:fldCharType="separate"/>
          </w:r>
          <w:r>
            <w:t>33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_Toc827305105 </w:instrText>
          </w:r>
          <w:r>
            <w:rPr>
              <w:bCs/>
              <w:lang w:val="zh-CN"/>
            </w:rPr>
            <w:fldChar w:fldCharType="separate"/>
          </w:r>
          <w:r>
            <w:t xml:space="preserve">5.5.4. </w:t>
          </w:r>
          <w:r>
            <w:rPr>
              <w:rFonts w:hint="eastAsia"/>
            </w:rPr>
            <w:t>接入配线光缆建设原则</w:t>
          </w:r>
          <w:r>
            <w:tab/>
          </w:r>
          <w:r>
            <w:fldChar w:fldCharType="begin"/>
          </w:r>
          <w:r>
            <w:instrText xml:space="preserve"> PAGEREF _Toc827305105 </w:instrText>
          </w:r>
          <w:r>
            <w:fldChar w:fldCharType="separate"/>
          </w:r>
          <w:r>
            <w:t>35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_Toc579229242 </w:instrText>
          </w:r>
          <w:r>
            <w:rPr>
              <w:bCs/>
              <w:lang w:val="zh-CN"/>
            </w:rPr>
            <w:fldChar w:fldCharType="separate"/>
          </w:r>
          <w:r>
            <w:rPr>
              <w:rFonts w:hint="default"/>
            </w:rPr>
            <w:t xml:space="preserve">第6章 </w:t>
          </w:r>
          <w:r>
            <w:rPr>
              <w:rFonts w:hint="eastAsia"/>
            </w:rPr>
            <w:t>规划方案</w:t>
          </w:r>
          <w:r>
            <w:tab/>
          </w:r>
          <w:r>
            <w:fldChar w:fldCharType="begin"/>
          </w:r>
          <w:r>
            <w:instrText xml:space="preserve"> PAGEREF _Toc579229242 </w:instrText>
          </w:r>
          <w:r>
            <w:fldChar w:fldCharType="separate"/>
          </w:r>
          <w:r>
            <w:t>36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_Toc1396798735 </w:instrText>
          </w:r>
          <w:r>
            <w:rPr>
              <w:bCs/>
              <w:lang w:val="zh-CN"/>
            </w:rPr>
            <w:fldChar w:fldCharType="separate"/>
          </w:r>
          <w:r>
            <w:rPr>
              <w:rFonts w:hint="eastAsia" w:ascii="黑体" w:hAnsi="黑体" w:eastAsia="黑体"/>
            </w:rPr>
            <w:t xml:space="preserve">6.1 </w:t>
          </w:r>
          <w:r>
            <w:rPr>
              <w:rFonts w:hint="eastAsia"/>
            </w:rPr>
            <w:t>无线网规划方案</w:t>
          </w:r>
          <w:r>
            <w:tab/>
          </w:r>
          <w:r>
            <w:fldChar w:fldCharType="begin"/>
          </w:r>
          <w:r>
            <w:instrText xml:space="preserve"> PAGEREF _Toc1396798735 </w:instrText>
          </w:r>
          <w:r>
            <w:fldChar w:fldCharType="separate"/>
          </w:r>
          <w:r>
            <w:t>36</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_Toc482390325 </w:instrText>
          </w:r>
          <w:r>
            <w:rPr>
              <w:bCs/>
              <w:lang w:val="zh-CN"/>
            </w:rPr>
            <w:fldChar w:fldCharType="separate"/>
          </w:r>
          <w:r>
            <w:t>6.1.1. 近期规划方案</w:t>
          </w:r>
          <w:r>
            <w:tab/>
          </w:r>
          <w:r>
            <w:fldChar w:fldCharType="begin"/>
          </w:r>
          <w:r>
            <w:instrText xml:space="preserve"> PAGEREF _Toc482390325 </w:instrText>
          </w:r>
          <w:r>
            <w:fldChar w:fldCharType="separate"/>
          </w:r>
          <w:r>
            <w:t>36</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_Toc1199800979 </w:instrText>
          </w:r>
          <w:r>
            <w:rPr>
              <w:bCs/>
              <w:lang w:val="zh-CN"/>
            </w:rPr>
            <w:fldChar w:fldCharType="separate"/>
          </w:r>
          <w:r>
            <w:t>6.1.2. 中期规划方案</w:t>
          </w:r>
          <w:r>
            <w:tab/>
          </w:r>
          <w:r>
            <w:fldChar w:fldCharType="begin"/>
          </w:r>
          <w:r>
            <w:instrText xml:space="preserve"> PAGEREF _Toc1199800979 </w:instrText>
          </w:r>
          <w:r>
            <w:fldChar w:fldCharType="separate"/>
          </w:r>
          <w:r>
            <w:t>38</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_Toc908153699 </w:instrText>
          </w:r>
          <w:r>
            <w:rPr>
              <w:bCs/>
              <w:lang w:val="zh-CN"/>
            </w:rPr>
            <w:fldChar w:fldCharType="separate"/>
          </w:r>
          <w:r>
            <w:t xml:space="preserve">6.1.3. </w:t>
          </w:r>
          <w:r>
            <w:rPr>
              <w:rFonts w:hint="eastAsia"/>
            </w:rPr>
            <w:t>远</w:t>
          </w:r>
          <w:r>
            <w:t>期规划方案</w:t>
          </w:r>
          <w:r>
            <w:tab/>
          </w:r>
          <w:r>
            <w:fldChar w:fldCharType="begin"/>
          </w:r>
          <w:r>
            <w:instrText xml:space="preserve"> PAGEREF _Toc908153699 </w:instrText>
          </w:r>
          <w:r>
            <w:fldChar w:fldCharType="separate"/>
          </w:r>
          <w:r>
            <w:t>40</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_Toc2036385389 </w:instrText>
          </w:r>
          <w:r>
            <w:rPr>
              <w:bCs/>
              <w:lang w:val="zh-CN"/>
            </w:rPr>
            <w:fldChar w:fldCharType="separate"/>
          </w:r>
          <w:r>
            <w:t>6.1.4. 微站规划方案</w:t>
          </w:r>
          <w:r>
            <w:tab/>
          </w:r>
          <w:r>
            <w:fldChar w:fldCharType="begin"/>
          </w:r>
          <w:r>
            <w:instrText xml:space="preserve"> PAGEREF _Toc2036385389 </w:instrText>
          </w:r>
          <w:r>
            <w:fldChar w:fldCharType="separate"/>
          </w:r>
          <w:r>
            <w:t>44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_Toc940417805 </w:instrText>
          </w:r>
          <w:r>
            <w:rPr>
              <w:bCs/>
              <w:lang w:val="zh-CN"/>
            </w:rPr>
            <w:fldChar w:fldCharType="separate"/>
          </w:r>
          <w:r>
            <w:rPr>
              <w:rFonts w:hint="eastAsia" w:ascii="黑体" w:hAnsi="黑体" w:eastAsia="黑体"/>
            </w:rPr>
            <w:t xml:space="preserve">6.2 </w:t>
          </w:r>
          <w:r>
            <w:t>室内覆盖规划方案</w:t>
          </w:r>
          <w:r>
            <w:tab/>
          </w:r>
          <w:r>
            <w:fldChar w:fldCharType="begin"/>
          </w:r>
          <w:r>
            <w:instrText xml:space="preserve"> PAGEREF _Toc940417805 </w:instrText>
          </w:r>
          <w:r>
            <w:fldChar w:fldCharType="separate"/>
          </w:r>
          <w:r>
            <w:t>44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_Toc1490658498 </w:instrText>
          </w:r>
          <w:r>
            <w:rPr>
              <w:bCs/>
              <w:lang w:val="zh-CN"/>
            </w:rPr>
            <w:fldChar w:fldCharType="separate"/>
          </w:r>
          <w:r>
            <w:rPr>
              <w:rFonts w:hint="eastAsia" w:ascii="黑体" w:hAnsi="黑体" w:eastAsia="黑体"/>
            </w:rPr>
            <w:t xml:space="preserve">6.3 </w:t>
          </w:r>
          <w:r>
            <w:t>通信局房规划</w:t>
          </w:r>
          <w:r>
            <w:tab/>
          </w:r>
          <w:r>
            <w:fldChar w:fldCharType="begin"/>
          </w:r>
          <w:r>
            <w:instrText xml:space="preserve"> PAGEREF _Toc1490658498 </w:instrText>
          </w:r>
          <w:r>
            <w:fldChar w:fldCharType="separate"/>
          </w:r>
          <w:r>
            <w:t>47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_Toc1910361282 </w:instrText>
          </w:r>
          <w:r>
            <w:rPr>
              <w:bCs/>
              <w:lang w:val="zh-CN"/>
            </w:rPr>
            <w:fldChar w:fldCharType="separate"/>
          </w:r>
          <w:r>
            <w:rPr>
              <w:rFonts w:hint="eastAsia" w:ascii="黑体" w:hAnsi="黑体" w:eastAsia="黑体"/>
            </w:rPr>
            <w:t xml:space="preserve">6.4 </w:t>
          </w:r>
          <w:r>
            <w:rPr>
              <w:rFonts w:hint="eastAsia"/>
            </w:rPr>
            <w:t>通信管道规划方案</w:t>
          </w:r>
          <w:r>
            <w:tab/>
          </w:r>
          <w:r>
            <w:fldChar w:fldCharType="begin"/>
          </w:r>
          <w:r>
            <w:instrText xml:space="preserve"> PAGEREF _Toc1910361282 </w:instrText>
          </w:r>
          <w:r>
            <w:fldChar w:fldCharType="separate"/>
          </w:r>
          <w:r>
            <w:t>50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_Toc1371258441 </w:instrText>
          </w:r>
          <w:r>
            <w:rPr>
              <w:bCs/>
              <w:lang w:val="zh-CN"/>
            </w:rPr>
            <w:fldChar w:fldCharType="separate"/>
          </w:r>
          <w:r>
            <w:rPr>
              <w:rFonts w:hint="eastAsia" w:ascii="黑体" w:hAnsi="黑体" w:eastAsia="黑体"/>
            </w:rPr>
            <w:t xml:space="preserve">6.5 </w:t>
          </w:r>
          <w:r>
            <w:rPr>
              <w:rFonts w:hint="eastAsia"/>
            </w:rPr>
            <w:t>通信光缆规划方案</w:t>
          </w:r>
          <w:r>
            <w:tab/>
          </w:r>
          <w:r>
            <w:fldChar w:fldCharType="begin"/>
          </w:r>
          <w:r>
            <w:instrText xml:space="preserve"> PAGEREF _Toc1371258441 </w:instrText>
          </w:r>
          <w:r>
            <w:fldChar w:fldCharType="separate"/>
          </w:r>
          <w:r>
            <w:t>50</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_Toc1942534150 </w:instrText>
          </w:r>
          <w:r>
            <w:rPr>
              <w:bCs/>
              <w:lang w:val="zh-CN"/>
            </w:rPr>
            <w:fldChar w:fldCharType="separate"/>
          </w:r>
          <w:r>
            <w:t>6.5.1. 业务区划分</w:t>
          </w:r>
          <w:r>
            <w:tab/>
          </w:r>
          <w:r>
            <w:fldChar w:fldCharType="begin"/>
          </w:r>
          <w:r>
            <w:instrText xml:space="preserve"> PAGEREF _Toc1942534150 </w:instrText>
          </w:r>
          <w:r>
            <w:fldChar w:fldCharType="separate"/>
          </w:r>
          <w:r>
            <w:t>50</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_Toc659180751 </w:instrText>
          </w:r>
          <w:r>
            <w:rPr>
              <w:bCs/>
              <w:lang w:val="zh-CN"/>
            </w:rPr>
            <w:fldChar w:fldCharType="separate"/>
          </w:r>
          <w:r>
            <w:t xml:space="preserve">6.5.2. </w:t>
          </w:r>
          <w:r>
            <w:rPr>
              <w:rFonts w:hint="eastAsia"/>
            </w:rPr>
            <w:t>光缆分纤点的设置</w:t>
          </w:r>
          <w:r>
            <w:tab/>
          </w:r>
          <w:r>
            <w:fldChar w:fldCharType="begin"/>
          </w:r>
          <w:r>
            <w:instrText xml:space="preserve"> PAGEREF _Toc659180751 </w:instrText>
          </w:r>
          <w:r>
            <w:fldChar w:fldCharType="separate"/>
          </w:r>
          <w:r>
            <w:t>51</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_Toc1707281024 </w:instrText>
          </w:r>
          <w:r>
            <w:rPr>
              <w:bCs/>
              <w:lang w:val="zh-CN"/>
            </w:rPr>
            <w:fldChar w:fldCharType="separate"/>
          </w:r>
          <w:r>
            <w:t>6.5.3. 汇聚层光缆</w:t>
          </w:r>
          <w:r>
            <w:tab/>
          </w:r>
          <w:r>
            <w:fldChar w:fldCharType="begin"/>
          </w:r>
          <w:r>
            <w:instrText xml:space="preserve"> PAGEREF _Toc1707281024 </w:instrText>
          </w:r>
          <w:r>
            <w:fldChar w:fldCharType="separate"/>
          </w:r>
          <w:r>
            <w:t>53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_Toc1129080453 </w:instrText>
          </w:r>
          <w:r>
            <w:rPr>
              <w:bCs/>
              <w:lang w:val="zh-CN"/>
            </w:rPr>
            <w:fldChar w:fldCharType="separate"/>
          </w:r>
          <w:r>
            <w:t xml:space="preserve">6.5.4. </w:t>
          </w:r>
          <w:r>
            <w:rPr>
              <w:rFonts w:hint="eastAsia"/>
            </w:rPr>
            <w:t>接入层光缆</w:t>
          </w:r>
          <w:r>
            <w:tab/>
          </w:r>
          <w:r>
            <w:fldChar w:fldCharType="begin"/>
          </w:r>
          <w:r>
            <w:instrText xml:space="preserve"> PAGEREF _Toc1129080453 </w:instrText>
          </w:r>
          <w:r>
            <w:fldChar w:fldCharType="separate"/>
          </w:r>
          <w:r>
            <w:t>55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_Toc1301460819 </w:instrText>
          </w:r>
          <w:r>
            <w:rPr>
              <w:bCs/>
              <w:lang w:val="zh-CN"/>
            </w:rPr>
            <w:fldChar w:fldCharType="separate"/>
          </w:r>
          <w:r>
            <w:rPr>
              <w:rFonts w:hint="default"/>
            </w:rPr>
            <w:t xml:space="preserve">第7章 </w:t>
          </w:r>
          <w:r>
            <w:t>其他规划要求</w:t>
          </w:r>
          <w:r>
            <w:tab/>
          </w:r>
          <w:r>
            <w:fldChar w:fldCharType="begin"/>
          </w:r>
          <w:r>
            <w:instrText xml:space="preserve"> PAGEREF _Toc1301460819 </w:instrText>
          </w:r>
          <w:r>
            <w:fldChar w:fldCharType="separate"/>
          </w:r>
          <w:r>
            <w:t>56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_Toc1211187360 </w:instrText>
          </w:r>
          <w:r>
            <w:rPr>
              <w:bCs/>
              <w:lang w:val="zh-CN"/>
            </w:rPr>
            <w:fldChar w:fldCharType="separate"/>
          </w:r>
          <w:r>
            <w:rPr>
              <w:rFonts w:hint="eastAsia" w:ascii="黑体" w:hAnsi="黑体" w:eastAsia="黑体"/>
            </w:rPr>
            <w:t xml:space="preserve">7.1 </w:t>
          </w:r>
          <w:r>
            <w:t>基站建设与环境融合相关要求</w:t>
          </w:r>
          <w:r>
            <w:tab/>
          </w:r>
          <w:r>
            <w:fldChar w:fldCharType="begin"/>
          </w:r>
          <w:r>
            <w:instrText xml:space="preserve"> PAGEREF _Toc1211187360 </w:instrText>
          </w:r>
          <w:r>
            <w:fldChar w:fldCharType="separate"/>
          </w:r>
          <w:r>
            <w:t>56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_Toc389307625 </w:instrText>
          </w:r>
          <w:r>
            <w:rPr>
              <w:bCs/>
              <w:lang w:val="zh-CN"/>
            </w:rPr>
            <w:fldChar w:fldCharType="separate"/>
          </w:r>
          <w:r>
            <w:rPr>
              <w:rFonts w:hint="eastAsia" w:ascii="黑体" w:hAnsi="黑体" w:eastAsia="黑体"/>
            </w:rPr>
            <w:t xml:space="preserve">7.2 </w:t>
          </w:r>
          <w:r>
            <w:rPr>
              <w:rFonts w:hint="eastAsia"/>
            </w:rPr>
            <w:t>共建共享规划</w:t>
          </w:r>
          <w:r>
            <w:tab/>
          </w:r>
          <w:r>
            <w:fldChar w:fldCharType="begin"/>
          </w:r>
          <w:r>
            <w:instrText xml:space="preserve"> PAGEREF _Toc389307625 </w:instrText>
          </w:r>
          <w:r>
            <w:fldChar w:fldCharType="separate"/>
          </w:r>
          <w:r>
            <w:t>57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_Toc1830600132 </w:instrText>
          </w:r>
          <w:r>
            <w:rPr>
              <w:bCs/>
              <w:lang w:val="zh-CN"/>
            </w:rPr>
            <w:fldChar w:fldCharType="separate"/>
          </w:r>
          <w:r>
            <w:rPr>
              <w:rFonts w:hint="eastAsia" w:ascii="黑体" w:hAnsi="黑体" w:eastAsia="黑体"/>
            </w:rPr>
            <w:t xml:space="preserve">7.3 </w:t>
          </w:r>
          <w:r>
            <w:rPr>
              <w:rFonts w:hint="eastAsia"/>
            </w:rPr>
            <w:t>生态环境保护</w:t>
          </w:r>
          <w:r>
            <w:tab/>
          </w:r>
          <w:r>
            <w:fldChar w:fldCharType="begin"/>
          </w:r>
          <w:r>
            <w:instrText xml:space="preserve"> PAGEREF _Toc1830600132 </w:instrText>
          </w:r>
          <w:r>
            <w:fldChar w:fldCharType="separate"/>
          </w:r>
          <w:r>
            <w:t>58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_Toc2072496548 </w:instrText>
          </w:r>
          <w:r>
            <w:rPr>
              <w:bCs/>
              <w:lang w:val="zh-CN"/>
            </w:rPr>
            <w:fldChar w:fldCharType="separate"/>
          </w:r>
          <w:r>
            <w:rPr>
              <w:rFonts w:hint="eastAsia" w:ascii="黑体" w:hAnsi="黑体" w:eastAsia="黑体"/>
            </w:rPr>
            <w:t xml:space="preserve">7.4 </w:t>
          </w:r>
          <w:r>
            <w:t>节能减排</w:t>
          </w:r>
          <w:r>
            <w:tab/>
          </w:r>
          <w:r>
            <w:fldChar w:fldCharType="begin"/>
          </w:r>
          <w:r>
            <w:instrText xml:space="preserve"> PAGEREF _Toc2072496548 </w:instrText>
          </w:r>
          <w:r>
            <w:fldChar w:fldCharType="separate"/>
          </w:r>
          <w:r>
            <w:t>61</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_Toc1597889559 </w:instrText>
          </w:r>
          <w:r>
            <w:rPr>
              <w:bCs/>
              <w:lang w:val="zh-CN"/>
            </w:rPr>
            <w:fldChar w:fldCharType="separate"/>
          </w:r>
          <w:r>
            <w:rPr>
              <w:rFonts w:hint="default"/>
            </w:rPr>
            <w:t xml:space="preserve">第8章 </w:t>
          </w:r>
          <w:r>
            <w:rPr>
              <w:rFonts w:hint="eastAsia"/>
            </w:rPr>
            <w:t>规划规模汇总</w:t>
          </w:r>
          <w:r>
            <w:tab/>
          </w:r>
          <w:r>
            <w:fldChar w:fldCharType="begin"/>
          </w:r>
          <w:r>
            <w:instrText xml:space="preserve"> PAGEREF _Toc1597889559 </w:instrText>
          </w:r>
          <w:r>
            <w:fldChar w:fldCharType="separate"/>
          </w:r>
          <w:r>
            <w:t>61</w:t>
          </w:r>
          <w:r>
            <w:fldChar w:fldCharType="end"/>
          </w:r>
          <w:r>
            <w:rPr>
              <w:bCs/>
              <w:lang w:val="zh-CN"/>
            </w:rPr>
            <w:fldChar w:fldCharType="end"/>
          </w:r>
        </w:p>
        <w:p>
          <w:pPr>
            <w:spacing w:line="440" w:lineRule="exact"/>
            <w:ind w:firstLine="0" w:firstLineChars="0"/>
            <w:rPr>
              <w:rFonts w:ascii="黑体" w:hAnsi="黑体" w:eastAsia="黑体"/>
              <w:szCs w:val="24"/>
            </w:rPr>
          </w:pPr>
          <w:r>
            <w:rPr>
              <w:bCs/>
              <w:lang w:val="zh-CN"/>
            </w:rPr>
            <w:fldChar w:fldCharType="end"/>
          </w:r>
        </w:p>
      </w:sdtContent>
    </w:sdt>
    <w:p>
      <w:pPr>
        <w:ind w:firstLine="480"/>
        <w:rPr>
          <w:rFonts w:ascii="黑体" w:hAnsi="黑体" w:eastAsia="黑体"/>
          <w:szCs w:val="24"/>
        </w:rPr>
        <w:sectPr>
          <w:pgSz w:w="11906" w:h="16838"/>
          <w:pgMar w:top="1440" w:right="1800" w:bottom="1440" w:left="1800" w:header="851" w:footer="850" w:gutter="0"/>
          <w:cols w:space="425" w:num="1"/>
          <w:docGrid w:type="lines" w:linePitch="326" w:charSpace="0"/>
        </w:sectPr>
      </w:pPr>
    </w:p>
    <w:p>
      <w:pPr>
        <w:pStyle w:val="2"/>
        <w:numPr>
          <w:ilvl w:val="0"/>
          <w:numId w:val="3"/>
        </w:numPr>
        <w:spacing w:before="326" w:after="326"/>
        <w:ind w:firstLineChars="0"/>
      </w:pPr>
      <w:bookmarkStart w:id="0" w:name="_Toc1948354761"/>
      <w:r>
        <w:rPr>
          <w:rFonts w:hint="eastAsia"/>
        </w:rPr>
        <w:t>概述</w:t>
      </w:r>
      <w:bookmarkEnd w:id="0"/>
    </w:p>
    <w:p>
      <w:pPr>
        <w:pStyle w:val="3"/>
        <w:numPr>
          <w:ilvl w:val="1"/>
          <w:numId w:val="4"/>
        </w:numPr>
        <w:spacing w:before="156" w:after="163"/>
      </w:pPr>
      <w:bookmarkStart w:id="1" w:name="_Toc227093684"/>
      <w:r>
        <w:rPr>
          <w:rFonts w:hint="eastAsia"/>
        </w:rPr>
        <w:t>规划概述</w:t>
      </w:r>
      <w:bookmarkEnd w:id="1"/>
    </w:p>
    <w:p>
      <w:pPr>
        <w:ind w:firstLine="480"/>
      </w:pPr>
      <w:r>
        <w:rPr>
          <w:rFonts w:hint="eastAsia"/>
        </w:rPr>
        <w:t>海南生态智慧新城（以下简称“新城”）地处海南北端，北依琼州海峡，西邻北部湾，位于老城镇域南部，紧邻海口市，处于海口都市圈的核心圈层。距澄迈县城金江镇约20公里，距海口市政府所在地长流起步区约15公里，距海口美兰国际机场约30公里，距海口中心城区约20公里。位于海南环岛高速公路、海榆西线（G225国道）公路和海口绕城高速公路交汇处。</w:t>
      </w:r>
    </w:p>
    <w:p>
      <w:pPr>
        <w:ind w:firstLine="480"/>
      </w:pPr>
      <w:r>
        <w:t>本次规划区域为新城起步区</w:t>
      </w:r>
      <w:r>
        <w:rPr>
          <w:rFonts w:hint="eastAsia"/>
        </w:rPr>
        <w:t>，东至海口行政边界，南至金马连接线，西至海榆西线，北至环岛高速公路，用地面积为</w:t>
      </w:r>
      <w:r>
        <w:t>6.9</w:t>
      </w:r>
      <w:r>
        <w:rPr>
          <w:rFonts w:hint="eastAsia"/>
        </w:rPr>
        <w:t>平方公里。</w:t>
      </w:r>
    </w:p>
    <w:p>
      <w:pPr>
        <w:ind w:firstLine="480"/>
      </w:pPr>
      <w:r>
        <w:rPr>
          <w:rFonts w:hint="eastAsia"/>
        </w:rPr>
        <w:t>本规划对象包括光缆、管道、基站、机房等基础物理元素，规划确立海南生态智慧新城2020年和2030年通信网主干系统组网，重要通信设施占地规模和位置。本规划用于指导海南生态智慧新城未来通信基础设施建设，同时作为运营商未来报建通信基础设施建设和政府审批重要依据。</w:t>
      </w:r>
    </w:p>
    <w:p>
      <w:pPr>
        <w:pStyle w:val="3"/>
        <w:numPr>
          <w:ilvl w:val="1"/>
          <w:numId w:val="4"/>
        </w:numPr>
        <w:spacing w:before="156" w:after="163"/>
      </w:pPr>
      <w:bookmarkStart w:id="2" w:name="_Toc1039928729"/>
      <w:r>
        <w:rPr>
          <w:rFonts w:hint="eastAsia"/>
        </w:rPr>
        <w:t>海南生态智慧新城起步区控制性详细规划解读</w:t>
      </w:r>
      <w:bookmarkEnd w:id="2"/>
    </w:p>
    <w:p>
      <w:pPr>
        <w:pStyle w:val="25"/>
        <w:keepNext/>
        <w:keepLines/>
        <w:numPr>
          <w:ilvl w:val="0"/>
          <w:numId w:val="5"/>
        </w:numPr>
        <w:ind w:firstLineChars="0"/>
        <w:outlineLvl w:val="2"/>
        <w:rPr>
          <w:rFonts w:eastAsia="黑体"/>
          <w:bCs/>
          <w:vanish/>
          <w:sz w:val="28"/>
          <w:szCs w:val="32"/>
        </w:rPr>
      </w:pPr>
      <w:bookmarkStart w:id="3" w:name="_Toc16196489"/>
      <w:bookmarkEnd w:id="3"/>
      <w:bookmarkStart w:id="4" w:name="_Toc16196397"/>
      <w:bookmarkEnd w:id="4"/>
      <w:bookmarkStart w:id="5" w:name="_Toc16196305"/>
      <w:bookmarkEnd w:id="5"/>
      <w:bookmarkStart w:id="6" w:name="_Toc22076641"/>
      <w:bookmarkEnd w:id="6"/>
      <w:bookmarkStart w:id="7" w:name="_Toc18422530"/>
      <w:bookmarkEnd w:id="7"/>
    </w:p>
    <w:p>
      <w:pPr>
        <w:pStyle w:val="25"/>
        <w:keepNext/>
        <w:keepLines/>
        <w:numPr>
          <w:ilvl w:val="1"/>
          <w:numId w:val="5"/>
        </w:numPr>
        <w:ind w:firstLineChars="0"/>
        <w:outlineLvl w:val="2"/>
        <w:rPr>
          <w:rFonts w:eastAsia="黑体"/>
          <w:bCs/>
          <w:vanish/>
          <w:sz w:val="28"/>
          <w:szCs w:val="32"/>
        </w:rPr>
      </w:pPr>
      <w:bookmarkStart w:id="8" w:name="_Toc16196490"/>
      <w:bookmarkEnd w:id="8"/>
      <w:bookmarkStart w:id="9" w:name="_Toc16196306"/>
      <w:bookmarkEnd w:id="9"/>
      <w:bookmarkStart w:id="10" w:name="_Toc18422531"/>
      <w:bookmarkEnd w:id="10"/>
      <w:bookmarkStart w:id="11" w:name="_Toc22076642"/>
      <w:bookmarkEnd w:id="11"/>
      <w:bookmarkStart w:id="12" w:name="_Toc16196398"/>
      <w:bookmarkEnd w:id="12"/>
    </w:p>
    <w:p>
      <w:pPr>
        <w:pStyle w:val="25"/>
        <w:keepNext/>
        <w:keepLines/>
        <w:numPr>
          <w:ilvl w:val="0"/>
          <w:numId w:val="6"/>
        </w:numPr>
        <w:ind w:firstLineChars="0"/>
        <w:outlineLvl w:val="2"/>
        <w:rPr>
          <w:rFonts w:eastAsia="黑体"/>
          <w:bCs/>
          <w:vanish/>
          <w:sz w:val="28"/>
          <w:szCs w:val="32"/>
        </w:rPr>
      </w:pPr>
      <w:bookmarkStart w:id="13" w:name="_Toc16196307"/>
      <w:bookmarkEnd w:id="13"/>
      <w:bookmarkStart w:id="14" w:name="_Toc16196399"/>
      <w:bookmarkEnd w:id="14"/>
      <w:bookmarkStart w:id="15" w:name="_Toc16196491"/>
      <w:bookmarkEnd w:id="15"/>
      <w:bookmarkStart w:id="16" w:name="_Toc22076643"/>
      <w:bookmarkEnd w:id="16"/>
      <w:bookmarkStart w:id="17" w:name="_Toc18422532"/>
      <w:bookmarkEnd w:id="17"/>
    </w:p>
    <w:p>
      <w:pPr>
        <w:pStyle w:val="25"/>
        <w:keepNext/>
        <w:keepLines/>
        <w:numPr>
          <w:ilvl w:val="1"/>
          <w:numId w:val="6"/>
        </w:numPr>
        <w:ind w:firstLineChars="0"/>
        <w:outlineLvl w:val="2"/>
        <w:rPr>
          <w:rFonts w:eastAsia="黑体"/>
          <w:bCs/>
          <w:vanish/>
          <w:sz w:val="28"/>
          <w:szCs w:val="32"/>
        </w:rPr>
      </w:pPr>
      <w:bookmarkStart w:id="18" w:name="_Toc16196308"/>
      <w:bookmarkEnd w:id="18"/>
      <w:bookmarkStart w:id="19" w:name="_Toc16196400"/>
      <w:bookmarkEnd w:id="19"/>
      <w:bookmarkStart w:id="20" w:name="_Toc16196492"/>
      <w:bookmarkEnd w:id="20"/>
      <w:bookmarkStart w:id="21" w:name="_Toc18422533"/>
      <w:bookmarkEnd w:id="21"/>
      <w:bookmarkStart w:id="22" w:name="_Toc22076644"/>
      <w:bookmarkEnd w:id="22"/>
    </w:p>
    <w:p>
      <w:pPr>
        <w:pStyle w:val="25"/>
        <w:keepNext/>
        <w:keepLines/>
        <w:numPr>
          <w:ilvl w:val="0"/>
          <w:numId w:val="7"/>
        </w:numPr>
        <w:ind w:firstLineChars="0"/>
        <w:outlineLvl w:val="2"/>
        <w:rPr>
          <w:rFonts w:eastAsia="黑体"/>
          <w:bCs/>
          <w:vanish/>
          <w:sz w:val="28"/>
          <w:szCs w:val="32"/>
        </w:rPr>
      </w:pPr>
      <w:bookmarkStart w:id="23" w:name="_Toc16196309"/>
      <w:bookmarkEnd w:id="23"/>
      <w:bookmarkStart w:id="24" w:name="_Toc18422534"/>
      <w:bookmarkEnd w:id="24"/>
      <w:bookmarkStart w:id="25" w:name="_Toc22076645"/>
      <w:bookmarkEnd w:id="25"/>
      <w:bookmarkStart w:id="26" w:name="_Toc16196493"/>
      <w:bookmarkEnd w:id="26"/>
      <w:bookmarkStart w:id="27" w:name="_Toc16196401"/>
      <w:bookmarkEnd w:id="27"/>
    </w:p>
    <w:p>
      <w:pPr>
        <w:pStyle w:val="25"/>
        <w:keepNext/>
        <w:keepLines/>
        <w:numPr>
          <w:ilvl w:val="1"/>
          <w:numId w:val="7"/>
        </w:numPr>
        <w:ind w:firstLineChars="0"/>
        <w:outlineLvl w:val="2"/>
        <w:rPr>
          <w:rFonts w:eastAsia="黑体"/>
          <w:bCs/>
          <w:vanish/>
          <w:sz w:val="28"/>
          <w:szCs w:val="32"/>
        </w:rPr>
      </w:pPr>
      <w:bookmarkStart w:id="28" w:name="_Toc16196402"/>
      <w:bookmarkEnd w:id="28"/>
      <w:bookmarkStart w:id="29" w:name="_Toc18422535"/>
      <w:bookmarkEnd w:id="29"/>
      <w:bookmarkStart w:id="30" w:name="_Toc16196494"/>
      <w:bookmarkEnd w:id="30"/>
      <w:bookmarkStart w:id="31" w:name="_Toc16196310"/>
      <w:bookmarkEnd w:id="31"/>
      <w:bookmarkStart w:id="32" w:name="_Toc22076646"/>
      <w:bookmarkEnd w:id="32"/>
    </w:p>
    <w:p>
      <w:pPr>
        <w:pStyle w:val="4"/>
        <w:numPr>
          <w:ilvl w:val="2"/>
          <w:numId w:val="7"/>
        </w:numPr>
        <w:ind w:firstLineChars="0"/>
      </w:pPr>
      <w:bookmarkStart w:id="33" w:name="_Toc176676696"/>
      <w:r>
        <w:rPr>
          <w:rFonts w:hint="eastAsia"/>
        </w:rPr>
        <w:t>规划期限与范围</w:t>
      </w:r>
      <w:bookmarkEnd w:id="33"/>
      <w:r>
        <w:t xml:space="preserve"> </w:t>
      </w:r>
    </w:p>
    <w:p>
      <w:pPr>
        <w:ind w:firstLine="480"/>
      </w:pPr>
      <w:r>
        <w:t>1</w:t>
      </w:r>
      <w:r>
        <w:rPr>
          <w:rFonts w:hint="eastAsia"/>
        </w:rPr>
        <w:t>规划期限</w:t>
      </w:r>
      <w:r>
        <w:t xml:space="preserve"> </w:t>
      </w:r>
    </w:p>
    <w:p>
      <w:pPr>
        <w:ind w:firstLine="480"/>
      </w:pPr>
      <w:r>
        <w:rPr>
          <w:rFonts w:hint="eastAsia"/>
        </w:rPr>
        <w:t>本版规划期限为</w:t>
      </w:r>
      <w:r>
        <w:t>2015</w:t>
      </w:r>
      <w:r>
        <w:rPr>
          <w:rFonts w:hint="eastAsia"/>
        </w:rPr>
        <w:t>年</w:t>
      </w:r>
      <w:r>
        <w:t>——2030</w:t>
      </w:r>
      <w:r>
        <w:rPr>
          <w:rFonts w:hint="eastAsia"/>
        </w:rPr>
        <w:t>年。其中：</w:t>
      </w:r>
      <w:r>
        <w:t xml:space="preserve"> </w:t>
      </w:r>
    </w:p>
    <w:p>
      <w:pPr>
        <w:ind w:firstLine="480"/>
      </w:pPr>
      <w:r>
        <w:rPr>
          <w:rFonts w:hint="eastAsia"/>
        </w:rPr>
        <w:t>近期：</w:t>
      </w:r>
      <w:r>
        <w:t>2015</w:t>
      </w:r>
      <w:r>
        <w:rPr>
          <w:rFonts w:hint="eastAsia"/>
        </w:rPr>
        <w:t>年</w:t>
      </w:r>
      <w:r>
        <w:t>——2020</w:t>
      </w:r>
      <w:r>
        <w:rPr>
          <w:rFonts w:hint="eastAsia"/>
        </w:rPr>
        <w:t>年；</w:t>
      </w:r>
      <w:r>
        <w:t xml:space="preserve"> </w:t>
      </w:r>
    </w:p>
    <w:p>
      <w:pPr>
        <w:ind w:firstLine="480"/>
      </w:pPr>
      <w:r>
        <w:rPr>
          <w:rFonts w:hint="eastAsia"/>
        </w:rPr>
        <w:t>远期：</w:t>
      </w:r>
      <w:r>
        <w:t>2021</w:t>
      </w:r>
      <w:r>
        <w:rPr>
          <w:rFonts w:hint="eastAsia"/>
        </w:rPr>
        <w:t>年</w:t>
      </w:r>
      <w:r>
        <w:t>——2030</w:t>
      </w:r>
      <w:r>
        <w:rPr>
          <w:rFonts w:hint="eastAsia"/>
        </w:rPr>
        <w:t>年。</w:t>
      </w:r>
      <w:r>
        <w:t xml:space="preserve"> </w:t>
      </w:r>
    </w:p>
    <w:p>
      <w:pPr>
        <w:ind w:firstLine="480"/>
      </w:pPr>
      <w:r>
        <w:t>2.</w:t>
      </w:r>
      <w:r>
        <w:rPr>
          <w:rFonts w:hint="eastAsia"/>
        </w:rPr>
        <w:t>规划范围</w:t>
      </w:r>
      <w:r>
        <w:t xml:space="preserve"> </w:t>
      </w:r>
    </w:p>
    <w:p>
      <w:pPr>
        <w:ind w:firstLine="480"/>
      </w:pPr>
      <w:r>
        <w:rPr>
          <w:rFonts w:hint="eastAsia"/>
        </w:rPr>
        <w:t>本规划区为海南生态智慧新城起步区。</w:t>
      </w:r>
      <w:r>
        <w:t xml:space="preserve"> </w:t>
      </w:r>
    </w:p>
    <w:p>
      <w:pPr>
        <w:ind w:firstLine="480"/>
      </w:pPr>
      <w:r>
        <w:rPr>
          <w:rFonts w:hint="eastAsia"/>
        </w:rPr>
        <w:t>本次规划范围为：</w:t>
      </w:r>
      <w:bookmarkStart w:id="34" w:name="_Toc472351125"/>
      <w:r>
        <w:rPr>
          <w:rFonts w:hint="eastAsia"/>
        </w:rPr>
        <w:t>东至澄迈县界，南至西环货运铁路，西至海榆西线（G225国道），北至西线高速公路，用地面积为6.95平方公里。</w:t>
      </w:r>
    </w:p>
    <w:p>
      <w:pPr>
        <w:pStyle w:val="4"/>
        <w:numPr>
          <w:ilvl w:val="2"/>
          <w:numId w:val="7"/>
        </w:numPr>
        <w:ind w:firstLineChars="0"/>
      </w:pPr>
      <w:bookmarkStart w:id="35" w:name="_Toc1799134936"/>
      <w:r>
        <w:rPr>
          <w:rFonts w:hint="eastAsia"/>
        </w:rPr>
        <w:t>人口规模</w:t>
      </w:r>
      <w:bookmarkEnd w:id="34"/>
      <w:bookmarkEnd w:id="35"/>
    </w:p>
    <w:p>
      <w:pPr>
        <w:ind w:firstLine="480"/>
      </w:pPr>
      <w:r>
        <w:rPr>
          <w:rFonts w:hint="eastAsia"/>
        </w:rPr>
        <w:t>起步区：常住人口规模为</w:t>
      </w:r>
      <w:r>
        <w:t>4.6</w:t>
      </w:r>
      <w:r>
        <w:rPr>
          <w:rFonts w:hint="eastAsia"/>
        </w:rPr>
        <w:t>万人，流动人口8万人。</w:t>
      </w:r>
    </w:p>
    <w:p>
      <w:pPr>
        <w:pStyle w:val="4"/>
        <w:numPr>
          <w:ilvl w:val="2"/>
          <w:numId w:val="7"/>
        </w:numPr>
        <w:ind w:firstLineChars="0"/>
      </w:pPr>
      <w:bookmarkStart w:id="36" w:name="_Toc472351126"/>
      <w:bookmarkStart w:id="37" w:name="_Toc960454616"/>
      <w:r>
        <w:rPr>
          <w:rFonts w:hint="eastAsia"/>
        </w:rPr>
        <w:t>用地规模</w:t>
      </w:r>
      <w:bookmarkEnd w:id="36"/>
      <w:bookmarkEnd w:id="37"/>
    </w:p>
    <w:p>
      <w:pPr>
        <w:ind w:firstLine="480"/>
      </w:pPr>
      <w:r>
        <w:rPr>
          <w:rFonts w:hint="eastAsia"/>
        </w:rPr>
        <w:t>本次控制性详细规划用地面积为6.95平方公里，规划建设用地面积为5.44平方公里。</w:t>
      </w:r>
    </w:p>
    <w:p>
      <w:pPr>
        <w:pStyle w:val="4"/>
        <w:numPr>
          <w:ilvl w:val="2"/>
          <w:numId w:val="7"/>
        </w:numPr>
        <w:ind w:firstLineChars="0"/>
      </w:pPr>
      <w:bookmarkStart w:id="38" w:name="_Toc2027419931"/>
      <w:r>
        <w:rPr>
          <w:rFonts w:hint="eastAsia"/>
        </w:rPr>
        <w:t>产业布局</w:t>
      </w:r>
      <w:bookmarkEnd w:id="38"/>
    </w:p>
    <w:p>
      <w:pPr>
        <w:ind w:firstLine="480"/>
      </w:pPr>
      <w:r>
        <w:rPr>
          <w:rFonts w:hint="eastAsia"/>
        </w:rPr>
        <w:t>海南生态智慧新城（软件园二期）以新一代信息技术为主导，推动互联网、大数据、人工智能、区块链和实体经济深度融合，推进制度创新、科技创新和产业创新，重点发展数字文体产业、数字健康产业及数字金融产业，打造完善的数字产业生态圈，形成数字经济聚集发展区，助推海南自贸区（港）高质量发展。</w:t>
      </w:r>
    </w:p>
    <w:p>
      <w:pPr>
        <w:ind w:firstLine="480"/>
      </w:pPr>
      <w:r>
        <w:rPr>
          <w:rFonts w:hint="eastAsia"/>
        </w:rPr>
        <w:t>生态智慧新城起步区产业布局结构从北向南依次为：“数字文体产业区、数字金融产业区和数字健康产业区”，远期智慧新城南区将打造“数字教育产业区”，分别打造千亿级产业集群。结合起步区三大产业布局划分，本次规划将产业内容归纳为“两港四村两基地”，分别为：海南国际电竞港、中国游戏数码港、腾讯生态村、百度生态村、离岸数据生态村、数字健康生态村、中国智力运动产业基地、数字经济总部基地。</w:t>
      </w:r>
    </w:p>
    <w:p>
      <w:pPr>
        <w:ind w:firstLine="482"/>
        <w:rPr>
          <w:b/>
        </w:rPr>
      </w:pPr>
      <w:r>
        <w:rPr>
          <w:b/>
        </w:rPr>
        <w:t>1</w:t>
      </w:r>
      <w:r>
        <w:rPr>
          <w:rFonts w:hint="eastAsia"/>
          <w:b/>
        </w:rPr>
        <w:t>、海南国际电竞港</w:t>
      </w:r>
      <w:r>
        <w:rPr>
          <w:b/>
        </w:rPr>
        <w:t xml:space="preserve"> </w:t>
      </w:r>
    </w:p>
    <w:p>
      <w:pPr>
        <w:ind w:firstLine="480"/>
      </w:pPr>
      <w:r>
        <w:rPr>
          <w:rFonts w:hint="eastAsia"/>
        </w:rPr>
        <w:t>海南国际电竞港依托海南自贸区自贸港先行先试政策优势和腾讯电竞的生态资源，以海南生态软件园为产业载体，在产业孵化、赛事落地、人才培养、行业标准体系搭建、电竞内容与旅游消费融合等方面探索新突破，构建行业新生态。</w:t>
      </w:r>
      <w:r>
        <w:t xml:space="preserve"> </w:t>
      </w:r>
    </w:p>
    <w:p>
      <w:pPr>
        <w:ind w:firstLine="480"/>
      </w:pPr>
      <w:r>
        <w:rPr>
          <w:rFonts w:hint="eastAsia"/>
        </w:rPr>
        <w:t>海南国际电竞港定位为全球数字文化与竞技中心，建设电竞数娱中心、电竞数据研究中心、电竞教育人才服务基地等产业配套，聚集国内外领先电竞企业，致力成为自由贸易港的全球数字名片、一带一路国家的数字文化交流中心和竞技类游戏出海的桥头堡。</w:t>
      </w:r>
      <w:r>
        <w:t xml:space="preserve"> </w:t>
      </w:r>
    </w:p>
    <w:p>
      <w:pPr>
        <w:ind w:firstLine="482"/>
        <w:rPr>
          <w:b/>
        </w:rPr>
      </w:pPr>
      <w:r>
        <w:rPr>
          <w:b/>
        </w:rPr>
        <w:t>2</w:t>
      </w:r>
      <w:r>
        <w:rPr>
          <w:rFonts w:hint="eastAsia"/>
          <w:b/>
        </w:rPr>
        <w:t>、</w:t>
      </w:r>
      <w:r>
        <w:rPr>
          <w:b/>
        </w:rPr>
        <w:t xml:space="preserve"> </w:t>
      </w:r>
      <w:r>
        <w:rPr>
          <w:rFonts w:hint="eastAsia"/>
          <w:b/>
        </w:rPr>
        <w:t>腾讯生态村</w:t>
      </w:r>
      <w:r>
        <w:rPr>
          <w:b/>
        </w:rPr>
        <w:t xml:space="preserve"> </w:t>
      </w:r>
    </w:p>
    <w:p>
      <w:pPr>
        <w:ind w:firstLine="480"/>
      </w:pPr>
      <w:r>
        <w:rPr>
          <w:rFonts w:hint="eastAsia"/>
        </w:rPr>
        <w:t>腾讯生态村由腾讯与海南生态软件园合作共建，共同打造目前全国唯一的线上、线下相结合互联网创新创业生态村，推动互联网、大数据、人工智能和实体经济深度融合，培育行业标杆企业和龙头企业，打造中高端人才聚集地和互联网经济示范区。</w:t>
      </w:r>
      <w:r>
        <w:t xml:space="preserve"> </w:t>
      </w:r>
    </w:p>
    <w:p>
      <w:pPr>
        <w:ind w:firstLine="480"/>
      </w:pPr>
      <w:r>
        <w:rPr>
          <w:rFonts w:hint="eastAsia"/>
        </w:rPr>
        <w:t>腾讯生态村将以腾讯为核心，打造</w:t>
      </w:r>
      <w:r>
        <w:t>“</w:t>
      </w:r>
      <w:r>
        <w:rPr>
          <w:rFonts w:hint="eastAsia"/>
        </w:rPr>
        <w:t>腾讯</w:t>
      </w:r>
      <w:r>
        <w:t>+</w:t>
      </w:r>
      <w:r>
        <w:rPr>
          <w:rFonts w:hint="eastAsia"/>
        </w:rPr>
        <w:t>孵化</w:t>
      </w:r>
      <w:r>
        <w:t>”</w:t>
      </w:r>
      <w:r>
        <w:rPr>
          <w:rFonts w:hint="eastAsia"/>
        </w:rPr>
        <w:t>产业模式，带动产业聚集，发挥腾讯、软件园各自资源优势，为中小企业提供全方位孵化服务，实现龙头企业与中小企业共生共赢的生态圈，搭建良好的产业结构，促进产业发展升级。</w:t>
      </w:r>
      <w:r>
        <w:t xml:space="preserve"> </w:t>
      </w:r>
    </w:p>
    <w:p>
      <w:pPr>
        <w:ind w:firstLine="482"/>
        <w:rPr>
          <w:b/>
        </w:rPr>
      </w:pPr>
      <w:r>
        <w:rPr>
          <w:b/>
        </w:rPr>
        <w:t>3</w:t>
      </w:r>
      <w:r>
        <w:rPr>
          <w:rFonts w:hint="eastAsia"/>
          <w:b/>
        </w:rPr>
        <w:t>、中国游戏数码港</w:t>
      </w:r>
      <w:r>
        <w:rPr>
          <w:b/>
        </w:rPr>
        <w:t xml:space="preserve"> </w:t>
      </w:r>
    </w:p>
    <w:p>
      <w:pPr>
        <w:ind w:firstLine="480"/>
      </w:pPr>
      <w:r>
        <w:rPr>
          <w:rFonts w:hint="eastAsia"/>
        </w:rPr>
        <w:t>中国游戏数码港由原国家新闻出版广电总局与海南省政府共同支持建设，打造中国乃至全球游戏企业公共服务平台，推动文化和旅游融合发展，发展动漫游戏、网络文化、数字内容等新兴文化消费，促进传统文化消费升级；同时，举办永不落幕的中国国际游戏交易大会、搭建游戏进出口结算中心，帮助更多优秀中国游戏作品</w:t>
      </w:r>
      <w:r>
        <w:t>“</w:t>
      </w:r>
      <w:r>
        <w:rPr>
          <w:rFonts w:hint="eastAsia"/>
        </w:rPr>
        <w:t>走出去</w:t>
      </w:r>
      <w:r>
        <w:t>”</w:t>
      </w:r>
      <w:r>
        <w:rPr>
          <w:rFonts w:hint="eastAsia"/>
        </w:rPr>
        <w:t>。</w:t>
      </w:r>
      <w:r>
        <w:t xml:space="preserve"> </w:t>
      </w:r>
    </w:p>
    <w:p>
      <w:pPr>
        <w:ind w:firstLine="480"/>
      </w:pPr>
      <w:r>
        <w:rPr>
          <w:rFonts w:hint="eastAsia"/>
        </w:rPr>
        <w:t>中国游戏数码港发展的业态涵盖游戏服务外包、游戏进出口交易平台、国际众创空间、游戏产业展会和赛事等，建设内容包括中国游戏研发中心、中国游戏科技馆、科技会展中心、中国游戏进出口结算中心、中国游戏产业基地等，为游戏产业发展提供良好的办公及服务环境。</w:t>
      </w:r>
      <w:r>
        <w:t xml:space="preserve"> </w:t>
      </w:r>
    </w:p>
    <w:p>
      <w:pPr>
        <w:ind w:firstLine="482"/>
        <w:rPr>
          <w:b/>
        </w:rPr>
      </w:pPr>
      <w:r>
        <w:rPr>
          <w:b/>
        </w:rPr>
        <w:t>4</w:t>
      </w:r>
      <w:r>
        <w:rPr>
          <w:rFonts w:hint="eastAsia"/>
          <w:b/>
        </w:rPr>
        <w:t>、百度生态村</w:t>
      </w:r>
      <w:r>
        <w:rPr>
          <w:b/>
        </w:rPr>
        <w:t xml:space="preserve"> </w:t>
      </w:r>
    </w:p>
    <w:p>
      <w:pPr>
        <w:ind w:firstLine="480"/>
      </w:pPr>
      <w:r>
        <w:rPr>
          <w:rFonts w:hint="eastAsia"/>
        </w:rPr>
        <w:t>百度生态村是由海南省政府与百度及海南生态软件园三方共建的智慧生态村落，是三方合作的重要内容。百度生态村将依托百度生态体系优势，整合包括百度公司、百度</w:t>
      </w:r>
      <w:r>
        <w:t>KA</w:t>
      </w:r>
      <w:r>
        <w:rPr>
          <w:rFonts w:hint="eastAsia"/>
        </w:rPr>
        <w:t>代理商、百度联盟、百度长江学堂以及合作伙伴资源，为海南导入互联网、大数据、人工智能、数字营销、区块链等相关产业，完善产业链上下游，形成产业集群。</w:t>
      </w:r>
      <w:r>
        <w:t xml:space="preserve"> </w:t>
      </w:r>
    </w:p>
    <w:p>
      <w:pPr>
        <w:ind w:firstLine="480"/>
      </w:pPr>
      <w:r>
        <w:rPr>
          <w:rFonts w:hint="eastAsia"/>
        </w:rPr>
        <w:t>百度生态村未来将由百度公司负责线上平台建设、百度区块链实验室及个人云建设，带动百度研发团队、百度研发中心和百度生态合作伙伴入驻，并导入领先技术、顶尖平台、专业指导、品牌宣传、企业孵化等价值服务和支撑；海南省政府提供协调帮助和政府支持；海南生态软件园负责百度生态村物理空间建设及提供政务服务等配套支持。</w:t>
      </w:r>
      <w:r>
        <w:t xml:space="preserve"> </w:t>
      </w:r>
    </w:p>
    <w:p>
      <w:pPr>
        <w:ind w:firstLine="480"/>
      </w:pPr>
      <w:r>
        <w:rPr>
          <w:rFonts w:hint="eastAsia"/>
        </w:rPr>
        <w:t>未来，百度生态村将承担智能城市示范项目建设，依托百度大脑、智能云、大数据等技术，建设智能政务、智能教育、智能旅游等应用场景，同时为智慧交通建设、公共安全智能化示范建设提供支持。充分发挥海南等政策、开放优势，促进百度智能驾驶汽车产业在海南的发展。</w:t>
      </w:r>
      <w:r>
        <w:t xml:space="preserve"> </w:t>
      </w:r>
    </w:p>
    <w:p>
      <w:pPr>
        <w:ind w:firstLine="482"/>
        <w:rPr>
          <w:b/>
        </w:rPr>
      </w:pPr>
      <w:r>
        <w:rPr>
          <w:b/>
        </w:rPr>
        <w:t>5</w:t>
      </w:r>
      <w:r>
        <w:rPr>
          <w:rFonts w:hint="eastAsia"/>
          <w:b/>
        </w:rPr>
        <w:t>、离岸数据生态村</w:t>
      </w:r>
      <w:r>
        <w:rPr>
          <w:b/>
        </w:rPr>
        <w:t xml:space="preserve"> </w:t>
      </w:r>
    </w:p>
    <w:p>
      <w:pPr>
        <w:ind w:firstLine="480"/>
      </w:pPr>
      <w:r>
        <w:rPr>
          <w:rFonts w:hint="eastAsia"/>
        </w:rPr>
        <w:t>离岸数据生态村以离岸数据中心为基础，聚集国内外优质企业，重点开展国际云计算服务、国际数据运营服务等离岸数据服务，在金融、游戏、医疗等领域形成离岸业务试点示范。</w:t>
      </w:r>
      <w:r>
        <w:t xml:space="preserve"> </w:t>
      </w:r>
    </w:p>
    <w:p>
      <w:pPr>
        <w:ind w:firstLine="480"/>
      </w:pPr>
      <w:r>
        <w:rPr>
          <w:rFonts w:hint="eastAsia"/>
        </w:rPr>
        <w:t>离岸数据生态村面向国际互联网客户提供离岸数据服务，能有效降低国内企业</w:t>
      </w:r>
      <w:r>
        <w:t>“</w:t>
      </w:r>
      <w:r>
        <w:rPr>
          <w:rFonts w:hint="eastAsia"/>
        </w:rPr>
        <w:t>走出去</w:t>
      </w:r>
      <w:r>
        <w:t>”</w:t>
      </w:r>
      <w:r>
        <w:rPr>
          <w:rFonts w:hint="eastAsia"/>
        </w:rPr>
        <w:t>开展海外业务的成本和风险，同时也吸引国际互联网企业向海南聚集，对进一步提升海南在国家</w:t>
      </w:r>
      <w:r>
        <w:t>“</w:t>
      </w:r>
      <w:r>
        <w:rPr>
          <w:rFonts w:hint="eastAsia"/>
        </w:rPr>
        <w:t>一带一路</w:t>
      </w:r>
      <w:r>
        <w:t>”</w:t>
      </w:r>
      <w:r>
        <w:rPr>
          <w:rFonts w:hint="eastAsia"/>
        </w:rPr>
        <w:t>桥头堡的战略地位、发挥</w:t>
      </w:r>
      <w:r>
        <w:t>“</w:t>
      </w:r>
      <w:r>
        <w:rPr>
          <w:rFonts w:hint="eastAsia"/>
        </w:rPr>
        <w:t>海上丝绸之路</w:t>
      </w:r>
      <w:r>
        <w:t>”</w:t>
      </w:r>
      <w:r>
        <w:rPr>
          <w:rFonts w:hint="eastAsia"/>
        </w:rPr>
        <w:t>支点能力起到重要的推动作用。</w:t>
      </w:r>
      <w:r>
        <w:t xml:space="preserve"> </w:t>
      </w:r>
    </w:p>
    <w:p>
      <w:pPr>
        <w:ind w:firstLine="482"/>
        <w:rPr>
          <w:b/>
        </w:rPr>
      </w:pPr>
      <w:r>
        <w:rPr>
          <w:b/>
        </w:rPr>
        <w:t>6</w:t>
      </w:r>
      <w:r>
        <w:rPr>
          <w:rFonts w:hint="eastAsia"/>
          <w:b/>
        </w:rPr>
        <w:t>、数字健康生态村</w:t>
      </w:r>
      <w:r>
        <w:rPr>
          <w:b/>
        </w:rPr>
        <w:t xml:space="preserve"> </w:t>
      </w:r>
    </w:p>
    <w:p>
      <w:pPr>
        <w:ind w:firstLine="480"/>
      </w:pPr>
      <w:r>
        <w:rPr>
          <w:rFonts w:hint="eastAsia"/>
        </w:rPr>
        <w:t>落实《海南省健康产业发展规划（</w:t>
      </w:r>
      <w:r>
        <w:t>2019-2025</w:t>
      </w:r>
      <w:r>
        <w:rPr>
          <w:rFonts w:hint="eastAsia"/>
        </w:rPr>
        <w:t>年）》，海南生态软件园数字健康生态村旨在打造一站式线上线下共享医疗健康平台，力争成为海南医疗健康产业</w:t>
      </w:r>
      <w:r>
        <w:t>2025</w:t>
      </w:r>
      <w:r>
        <w:rPr>
          <w:rFonts w:hint="eastAsia"/>
        </w:rPr>
        <w:t>年</w:t>
      </w:r>
      <w:r>
        <w:t>1000</w:t>
      </w:r>
      <w:r>
        <w:rPr>
          <w:rFonts w:hint="eastAsia"/>
        </w:rPr>
        <w:t>亿产业目标实现的重要力量。</w:t>
      </w:r>
      <w:r>
        <w:t xml:space="preserve"> </w:t>
      </w:r>
    </w:p>
    <w:p>
      <w:pPr>
        <w:ind w:firstLine="480"/>
      </w:pPr>
      <w:r>
        <w:rPr>
          <w:rFonts w:hint="eastAsia"/>
        </w:rPr>
        <w:t>数字健康生态村将打造数字健康产业共享开放平台，汇聚政策、技术、市场、资金等各类创新要素，以区块链为基础、以大数据为中心、以数字应用为引擎、以线下培育为依托，形成由数字健康生态服务体系、数字健康医疗服务体系和数字健康产业聚</w:t>
      </w:r>
      <w:r>
        <w:t xml:space="preserve">集中心组成的数字健康产业生态体系。 </w:t>
      </w:r>
    </w:p>
    <w:p>
      <w:pPr>
        <w:ind w:firstLine="480"/>
      </w:pPr>
      <w:r>
        <w:t xml:space="preserve">未来，数字健康产业板块基于医疗健康大数据线上平台及线下服务，将建成海南自贸港医疗健康大数据调度指挥中心，成为海南自贸港健康医疗服务输出的重要节点，服务面向东南亚6.5亿人口及一带一路沿线国家人群。 </w:t>
      </w:r>
    </w:p>
    <w:p>
      <w:pPr>
        <w:ind w:firstLine="482"/>
        <w:rPr>
          <w:b/>
        </w:rPr>
      </w:pPr>
      <w:r>
        <w:rPr>
          <w:b/>
        </w:rPr>
        <w:t>7</w:t>
      </w:r>
      <w:r>
        <w:rPr>
          <w:rFonts w:hint="eastAsia"/>
          <w:b/>
        </w:rPr>
        <w:t>、</w:t>
      </w:r>
      <w:r>
        <w:rPr>
          <w:b/>
        </w:rPr>
        <w:t xml:space="preserve">智力运动产业基地 </w:t>
      </w:r>
    </w:p>
    <w:p>
      <w:pPr>
        <w:ind w:firstLine="480"/>
      </w:pPr>
      <w:r>
        <w:t xml:space="preserve">中国智力运动产业基地是根据国家体育总局关于《体育产业发展“十三五”规划》相关要求建设的国家级体育产业示范基地，由国家体育总局和海南省人民政府战略合作共建，集智力运动研发、赛事、推广普及、孵化、投资等多功能为一体，融合互联网、物联网、人工智能、大数据等高科技的智能化生态产业集群。 </w:t>
      </w:r>
    </w:p>
    <w:p>
      <w:pPr>
        <w:ind w:firstLine="480"/>
      </w:pPr>
      <w:r>
        <w:t xml:space="preserve">中国智力运动产业基地致力于促进体育产业融合发展、带动互联网+体育产业，并在此基础上探索建立智力运动产业发展示范区，培育一批智力运动产业的优秀项目和企业，促进海南自贸区（港）发展，推动海南建设具有世界影响力的国际旅游消费中心，引领智力运动产业在国内乃至国际上发展。 </w:t>
      </w:r>
    </w:p>
    <w:p>
      <w:pPr>
        <w:ind w:firstLine="482"/>
        <w:rPr>
          <w:b/>
        </w:rPr>
      </w:pPr>
      <w:r>
        <w:rPr>
          <w:b/>
        </w:rPr>
        <w:t>8</w:t>
      </w:r>
      <w:r>
        <w:rPr>
          <w:rFonts w:hint="eastAsia"/>
          <w:b/>
        </w:rPr>
        <w:t>、</w:t>
      </w:r>
      <w:r>
        <w:rPr>
          <w:b/>
        </w:rPr>
        <w:t xml:space="preserve">数字产业总部基地 </w:t>
      </w:r>
    </w:p>
    <w:p>
      <w:pPr>
        <w:ind w:firstLine="480"/>
      </w:pPr>
      <w:r>
        <w:t xml:space="preserve">数字经济总部基地以ABCDI（即AI 人工智能、BLOCK-CHAIN 区块链、CloudComputing 云计算、Big-Data 大数据、IOT 物联网）及5G 技术应用为基础，打造全球顶级办公空间，通过探索以数据为核心，梳理城市内外生产要素，重新构建数字城市发展的新模式。 </w:t>
      </w:r>
    </w:p>
    <w:p>
      <w:pPr>
        <w:ind w:firstLine="480"/>
      </w:pPr>
      <w:r>
        <w:t xml:space="preserve">数字经济总部基地将在全球范围内引进3-5 家知名数字经济跨国企业实现落户，汇聚国内软件和信息技术服务业、互联网行业等大型企业集团等总部企业。同时，在基地培育一批本土企业运用新一代信息技术转型升级为标杆企业。 </w:t>
      </w:r>
    </w:p>
    <w:p>
      <w:pPr>
        <w:pStyle w:val="4"/>
        <w:numPr>
          <w:ilvl w:val="2"/>
          <w:numId w:val="7"/>
        </w:numPr>
        <w:ind w:firstLineChars="0"/>
      </w:pPr>
      <w:bookmarkStart w:id="39" w:name="_Toc1856065433"/>
      <w:r>
        <w:rPr>
          <w:rFonts w:hint="eastAsia"/>
        </w:rPr>
        <w:t>项目开发进展</w:t>
      </w:r>
      <w:bookmarkEnd w:id="39"/>
    </w:p>
    <w:p>
      <w:pPr>
        <w:ind w:firstLine="480"/>
      </w:pPr>
      <w:r>
        <w:rPr>
          <w:rFonts w:hint="eastAsia"/>
        </w:rPr>
        <w:t>2</w:t>
      </w:r>
      <w:r>
        <w:t>018年</w:t>
      </w:r>
      <w:r>
        <w:rPr>
          <w:rFonts w:hint="eastAsia"/>
        </w:rPr>
        <w:t>微城未来学校、腾讯生态村、微城公园等地块开工建设。目前微城未来学校已投入使用。</w:t>
      </w:r>
    </w:p>
    <w:p>
      <w:pPr>
        <w:ind w:firstLine="480"/>
      </w:pPr>
      <w:r>
        <w:rPr>
          <w:rFonts w:hint="eastAsia"/>
        </w:rPr>
        <w:t>2</w:t>
      </w:r>
      <w:r>
        <w:t>019年百度生态村</w:t>
      </w:r>
      <w:r>
        <w:rPr>
          <w:rFonts w:hint="eastAsia"/>
        </w:rPr>
        <w:t>、智力产业基地、</w:t>
      </w:r>
      <w:r>
        <w:t>高知社区</w:t>
      </w:r>
      <w:r>
        <w:rPr>
          <w:rFonts w:hint="eastAsia"/>
        </w:rPr>
        <w:t>、</w:t>
      </w:r>
      <w:r>
        <w:t>国际电竞港</w:t>
      </w:r>
      <w:r>
        <w:rPr>
          <w:rFonts w:hint="eastAsia"/>
        </w:rPr>
        <w:t>、</w:t>
      </w:r>
      <w:r>
        <w:t>游戏数码港等产业将陆续开工</w:t>
      </w:r>
      <w:r>
        <w:rPr>
          <w:rFonts w:hint="eastAsia"/>
        </w:rPr>
        <w:t>。</w:t>
      </w:r>
    </w:p>
    <w:p>
      <w:pPr>
        <w:ind w:firstLine="480"/>
      </w:pPr>
      <w:r>
        <w:rPr>
          <w:rFonts w:hint="eastAsia"/>
        </w:rPr>
        <w:t>2</w:t>
      </w:r>
      <w:r>
        <w:t>020年海南生态智慧新城</w:t>
      </w:r>
      <w:r>
        <w:rPr>
          <w:rFonts w:hint="eastAsia"/>
        </w:rPr>
        <w:t>起步区的北部片区其他产业将陆续开工。如数字加密岛、人才公寓、青年公寓、高管社区、定制别墅区、需求社区、国际公寓等。</w:t>
      </w:r>
    </w:p>
    <w:p>
      <w:pPr>
        <w:ind w:firstLine="480"/>
      </w:pPr>
      <w:r>
        <w:rPr>
          <w:rFonts w:hint="eastAsia"/>
        </w:rPr>
        <w:t>2</w:t>
      </w:r>
      <w:r>
        <w:t>021年</w:t>
      </w:r>
      <w:r>
        <w:rPr>
          <w:rFonts w:hint="eastAsia"/>
        </w:rPr>
        <w:t>-</w:t>
      </w:r>
      <w:r>
        <w:t>2020年</w:t>
      </w:r>
      <w:r>
        <w:rPr>
          <w:rFonts w:hint="eastAsia"/>
        </w:rPr>
        <w:t>，</w:t>
      </w:r>
      <w:r>
        <w:t>社区学校</w:t>
      </w:r>
      <w:r>
        <w:rPr>
          <w:rFonts w:hint="eastAsia"/>
        </w:rPr>
        <w:t>、</w:t>
      </w:r>
      <w:r>
        <w:t>创业产业设计园</w:t>
      </w:r>
      <w:r>
        <w:rPr>
          <w:rFonts w:hint="eastAsia"/>
        </w:rPr>
        <w:t>、商业中心、离岸数据生态村、数字健康生态村将陆续开工建设。</w:t>
      </w:r>
    </w:p>
    <w:p>
      <w:pPr>
        <w:ind w:firstLine="480"/>
        <w:jc w:val="center"/>
      </w:pPr>
      <w:r>
        <w:drawing>
          <wp:inline distT="0" distB="0" distL="0" distR="0">
            <wp:extent cx="3209925" cy="3575685"/>
            <wp:effectExtent l="0" t="0" r="0" b="5715"/>
            <wp:docPr id="13" name="图片 13" descr="C:\Users\user\AppData\Local\Temp\156738962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user\AppData\Local\Temp\1567389629(1).png"/>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3214702" cy="3581048"/>
                    </a:xfrm>
                    <a:prstGeom prst="rect">
                      <a:avLst/>
                    </a:prstGeom>
                    <a:noFill/>
                    <a:ln>
                      <a:noFill/>
                    </a:ln>
                  </pic:spPr>
                </pic:pic>
              </a:graphicData>
            </a:graphic>
          </wp:inline>
        </w:drawing>
      </w:r>
    </w:p>
    <w:p>
      <w:pPr>
        <w:ind w:firstLine="480"/>
        <w:jc w:val="center"/>
      </w:pPr>
      <w:r>
        <w:t>图</w:t>
      </w:r>
      <w:r>
        <w:rPr>
          <w:rFonts w:hint="eastAsia"/>
        </w:rPr>
        <w:t>1</w:t>
      </w:r>
      <w:r>
        <w:t>.2</w:t>
      </w:r>
      <w:r>
        <w:rPr>
          <w:rFonts w:hint="eastAsia"/>
        </w:rPr>
        <w:t>.</w:t>
      </w:r>
      <w:r>
        <w:t>5项目开发进度计划图</w:t>
      </w:r>
    </w:p>
    <w:p>
      <w:pPr>
        <w:pStyle w:val="2"/>
        <w:numPr>
          <w:ilvl w:val="0"/>
          <w:numId w:val="3"/>
        </w:numPr>
        <w:spacing w:before="326" w:after="326"/>
        <w:ind w:firstLineChars="0"/>
        <w:jc w:val="center"/>
      </w:pPr>
      <w:bookmarkStart w:id="40" w:name="_Toc146342993"/>
      <w:r>
        <w:t>通信基础设施规划总则</w:t>
      </w:r>
      <w:bookmarkEnd w:id="40"/>
    </w:p>
    <w:p>
      <w:pPr>
        <w:pStyle w:val="25"/>
        <w:keepNext/>
        <w:keepLines/>
        <w:numPr>
          <w:ilvl w:val="0"/>
          <w:numId w:val="6"/>
        </w:numPr>
        <w:ind w:firstLineChars="0"/>
        <w:outlineLvl w:val="2"/>
        <w:rPr>
          <w:rFonts w:eastAsia="黑体"/>
          <w:bCs/>
          <w:vanish/>
          <w:sz w:val="28"/>
          <w:szCs w:val="32"/>
        </w:rPr>
      </w:pPr>
      <w:bookmarkStart w:id="41" w:name="_Toc18422542"/>
      <w:bookmarkEnd w:id="41"/>
      <w:bookmarkStart w:id="42" w:name="_Toc16196500"/>
      <w:bookmarkEnd w:id="42"/>
      <w:bookmarkStart w:id="43" w:name="_Toc16196316"/>
      <w:bookmarkEnd w:id="43"/>
      <w:bookmarkStart w:id="44" w:name="_Toc16196408"/>
      <w:bookmarkEnd w:id="44"/>
      <w:bookmarkStart w:id="45" w:name="_Toc22076653"/>
      <w:bookmarkEnd w:id="45"/>
      <w:bookmarkStart w:id="46" w:name="_Toc472351106"/>
      <w:bookmarkStart w:id="47" w:name="_Toc454802526"/>
    </w:p>
    <w:p>
      <w:pPr>
        <w:pStyle w:val="25"/>
        <w:keepNext/>
        <w:keepLines/>
        <w:numPr>
          <w:ilvl w:val="1"/>
          <w:numId w:val="6"/>
        </w:numPr>
        <w:ind w:firstLineChars="0"/>
        <w:outlineLvl w:val="2"/>
        <w:rPr>
          <w:rFonts w:eastAsia="黑体"/>
          <w:bCs/>
          <w:vanish/>
          <w:sz w:val="28"/>
          <w:szCs w:val="32"/>
        </w:rPr>
      </w:pPr>
      <w:bookmarkStart w:id="48" w:name="_Toc16196317"/>
      <w:bookmarkEnd w:id="48"/>
      <w:bookmarkStart w:id="49" w:name="_Toc16196501"/>
      <w:bookmarkEnd w:id="49"/>
      <w:bookmarkStart w:id="50" w:name="_Toc22076654"/>
      <w:bookmarkEnd w:id="50"/>
      <w:bookmarkStart w:id="51" w:name="_Toc16196409"/>
      <w:bookmarkEnd w:id="51"/>
      <w:bookmarkStart w:id="52" w:name="_Toc18422543"/>
      <w:bookmarkEnd w:id="52"/>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53" w:name="_Toc16196502"/>
      <w:bookmarkEnd w:id="53"/>
      <w:bookmarkStart w:id="54" w:name="_Toc22076655"/>
      <w:bookmarkEnd w:id="54"/>
      <w:bookmarkStart w:id="55" w:name="_Toc16196318"/>
      <w:bookmarkEnd w:id="55"/>
      <w:bookmarkStart w:id="56" w:name="_Toc16196410"/>
      <w:bookmarkEnd w:id="56"/>
      <w:bookmarkStart w:id="57" w:name="_Toc18422544"/>
      <w:bookmarkEnd w:id="57"/>
    </w:p>
    <w:p>
      <w:pPr>
        <w:pStyle w:val="3"/>
        <w:numPr>
          <w:ilvl w:val="1"/>
          <w:numId w:val="4"/>
        </w:numPr>
        <w:spacing w:before="156" w:after="163"/>
      </w:pPr>
      <w:bookmarkStart w:id="58" w:name="_Toc2069297383"/>
      <w:r>
        <w:t>规划范围</w:t>
      </w:r>
      <w:bookmarkEnd w:id="46"/>
      <w:bookmarkEnd w:id="47"/>
      <w:bookmarkEnd w:id="58"/>
    </w:p>
    <w:p>
      <w:pPr>
        <w:ind w:firstLine="480"/>
      </w:pPr>
      <w:r>
        <w:rPr>
          <w:rFonts w:hint="eastAsia"/>
        </w:rPr>
        <w:t>区域范围：海南智慧新城起步区</w:t>
      </w:r>
      <w:r>
        <w:t>6.95</w:t>
      </w:r>
      <w:r>
        <w:rPr>
          <w:rFonts w:hint="eastAsia"/>
        </w:rPr>
        <w:t>平方公里。</w:t>
      </w:r>
    </w:p>
    <w:p>
      <w:pPr>
        <w:pStyle w:val="3"/>
        <w:numPr>
          <w:ilvl w:val="1"/>
          <w:numId w:val="4"/>
        </w:numPr>
        <w:spacing w:before="156" w:after="163"/>
      </w:pPr>
      <w:bookmarkStart w:id="59" w:name="_Toc472351107"/>
      <w:bookmarkStart w:id="60" w:name="_Toc454802527"/>
      <w:bookmarkStart w:id="61" w:name="_Toc1428363719"/>
      <w:r>
        <w:t>规划年限</w:t>
      </w:r>
      <w:bookmarkEnd w:id="59"/>
      <w:bookmarkEnd w:id="60"/>
      <w:bookmarkEnd w:id="61"/>
    </w:p>
    <w:p>
      <w:pPr>
        <w:ind w:firstLine="480"/>
      </w:pPr>
      <w:r>
        <w:rPr>
          <w:rFonts w:hint="eastAsia"/>
        </w:rPr>
        <w:t>本规划年限根据《海南生态智慧新城起步区（软件园二期）控制性详细规划》，并结合起步区内产业开发进度，</w:t>
      </w:r>
      <w:r>
        <w:t>取定为</w:t>
      </w:r>
      <w:r>
        <w:rPr>
          <w:rFonts w:hint="eastAsia"/>
        </w:rPr>
        <w:t>201</w:t>
      </w:r>
      <w:r>
        <w:t>9</w:t>
      </w:r>
      <w:r>
        <w:rPr>
          <w:rFonts w:hint="eastAsia"/>
        </w:rPr>
        <w:t>年~</w:t>
      </w:r>
      <w:r>
        <w:t>2030年</w:t>
      </w:r>
      <w:r>
        <w:rPr>
          <w:rFonts w:hint="eastAsia"/>
        </w:rPr>
        <w:t>，近期201</w:t>
      </w:r>
      <w:r>
        <w:t>9年</w:t>
      </w:r>
      <w:r>
        <w:rPr>
          <w:rFonts w:hint="eastAsia"/>
        </w:rPr>
        <w:t>-</w:t>
      </w:r>
      <w:r>
        <w:t>2020</w:t>
      </w:r>
      <w:r>
        <w:rPr>
          <w:rFonts w:hint="eastAsia"/>
        </w:rPr>
        <w:t>年中，中期为2</w:t>
      </w:r>
      <w:r>
        <w:t>020年中</w:t>
      </w:r>
      <w:r>
        <w:rPr>
          <w:rFonts w:hint="eastAsia"/>
        </w:rPr>
        <w:t>-</w:t>
      </w:r>
      <w:r>
        <w:t>2021年底</w:t>
      </w:r>
      <w:r>
        <w:rPr>
          <w:rFonts w:hint="eastAsia"/>
        </w:rPr>
        <w:t>，</w:t>
      </w:r>
      <w:r>
        <w:t>远期为</w:t>
      </w:r>
      <w:r>
        <w:rPr>
          <w:rFonts w:hint="eastAsia"/>
        </w:rPr>
        <w:t>2</w:t>
      </w:r>
      <w:r>
        <w:t>022年</w:t>
      </w:r>
      <w:r>
        <w:rPr>
          <w:rFonts w:hint="eastAsia"/>
        </w:rPr>
        <w:t>-</w:t>
      </w:r>
      <w:r>
        <w:t>2030年</w:t>
      </w:r>
      <w:r>
        <w:rPr>
          <w:rFonts w:hint="eastAsia"/>
        </w:rPr>
        <w:t>。</w:t>
      </w:r>
    </w:p>
    <w:p>
      <w:pPr>
        <w:pStyle w:val="3"/>
        <w:numPr>
          <w:ilvl w:val="1"/>
          <w:numId w:val="4"/>
        </w:numPr>
        <w:spacing w:before="156" w:after="163"/>
      </w:pPr>
      <w:bookmarkStart w:id="62" w:name="_Toc454802528"/>
      <w:bookmarkStart w:id="63" w:name="_Toc472351108"/>
      <w:bookmarkStart w:id="64" w:name="_Toc427223636"/>
      <w:bookmarkStart w:id="65" w:name="_Toc427231645"/>
      <w:bookmarkStart w:id="66" w:name="_Toc2114236874"/>
      <w:r>
        <w:t>规划依据</w:t>
      </w:r>
      <w:bookmarkEnd w:id="62"/>
      <w:bookmarkEnd w:id="63"/>
      <w:bookmarkEnd w:id="64"/>
      <w:bookmarkEnd w:id="65"/>
      <w:bookmarkEnd w:id="66"/>
    </w:p>
    <w:p>
      <w:pPr>
        <w:pStyle w:val="25"/>
        <w:keepNext/>
        <w:keepLines/>
        <w:numPr>
          <w:ilvl w:val="1"/>
          <w:numId w:val="6"/>
        </w:numPr>
        <w:ind w:firstLineChars="0"/>
        <w:outlineLvl w:val="2"/>
        <w:rPr>
          <w:rFonts w:eastAsia="黑体"/>
          <w:bCs/>
          <w:vanish/>
          <w:sz w:val="28"/>
          <w:szCs w:val="32"/>
        </w:rPr>
      </w:pPr>
      <w:bookmarkStart w:id="67" w:name="_Toc16196506"/>
      <w:bookmarkEnd w:id="67"/>
      <w:bookmarkStart w:id="68" w:name="_Toc22076659"/>
      <w:bookmarkEnd w:id="68"/>
      <w:bookmarkStart w:id="69" w:name="_Toc16196414"/>
      <w:bookmarkEnd w:id="69"/>
      <w:bookmarkStart w:id="70" w:name="_Toc16196322"/>
      <w:bookmarkEnd w:id="70"/>
      <w:bookmarkStart w:id="71" w:name="_Toc18422548"/>
      <w:bookmarkEnd w:id="71"/>
      <w:bookmarkStart w:id="72" w:name="_Toc427223637"/>
      <w:bookmarkStart w:id="73" w:name="_Toc472351109"/>
      <w:bookmarkStart w:id="74" w:name="_Toc427231646"/>
      <w:bookmarkStart w:id="75" w:name="_Toc446666407"/>
      <w:bookmarkStart w:id="76" w:name="_Toc454802529"/>
    </w:p>
    <w:p>
      <w:pPr>
        <w:pStyle w:val="25"/>
        <w:keepNext/>
        <w:keepLines/>
        <w:numPr>
          <w:ilvl w:val="1"/>
          <w:numId w:val="6"/>
        </w:numPr>
        <w:ind w:firstLineChars="0"/>
        <w:outlineLvl w:val="2"/>
        <w:rPr>
          <w:rFonts w:eastAsia="黑体"/>
          <w:bCs/>
          <w:vanish/>
          <w:sz w:val="28"/>
          <w:szCs w:val="32"/>
        </w:rPr>
      </w:pPr>
      <w:bookmarkStart w:id="77" w:name="_Toc16196415"/>
      <w:bookmarkEnd w:id="77"/>
      <w:bookmarkStart w:id="78" w:name="_Toc18422549"/>
      <w:bookmarkEnd w:id="78"/>
      <w:bookmarkStart w:id="79" w:name="_Toc22076660"/>
      <w:bookmarkEnd w:id="79"/>
      <w:bookmarkStart w:id="80" w:name="_Toc16196323"/>
      <w:bookmarkEnd w:id="80"/>
      <w:bookmarkStart w:id="81" w:name="_Toc16196507"/>
      <w:bookmarkEnd w:id="81"/>
    </w:p>
    <w:p>
      <w:pPr>
        <w:pStyle w:val="25"/>
        <w:keepNext/>
        <w:keepLines/>
        <w:numPr>
          <w:ilvl w:val="0"/>
          <w:numId w:val="8"/>
        </w:numPr>
        <w:ind w:firstLineChars="0"/>
        <w:outlineLvl w:val="2"/>
        <w:rPr>
          <w:rFonts w:eastAsia="黑体"/>
          <w:bCs/>
          <w:vanish/>
          <w:sz w:val="28"/>
          <w:szCs w:val="32"/>
        </w:rPr>
      </w:pPr>
      <w:bookmarkStart w:id="82" w:name="_Toc22076661"/>
      <w:bookmarkEnd w:id="82"/>
      <w:bookmarkStart w:id="83" w:name="_Toc18422550"/>
      <w:bookmarkEnd w:id="83"/>
      <w:bookmarkStart w:id="84" w:name="_Toc16196508"/>
      <w:bookmarkEnd w:id="84"/>
      <w:bookmarkStart w:id="85" w:name="_Toc16196324"/>
      <w:bookmarkEnd w:id="85"/>
      <w:bookmarkStart w:id="86" w:name="_Toc16196416"/>
      <w:bookmarkEnd w:id="86"/>
    </w:p>
    <w:p>
      <w:pPr>
        <w:pStyle w:val="25"/>
        <w:keepNext/>
        <w:keepLines/>
        <w:numPr>
          <w:ilvl w:val="0"/>
          <w:numId w:val="8"/>
        </w:numPr>
        <w:ind w:firstLineChars="0"/>
        <w:outlineLvl w:val="2"/>
        <w:rPr>
          <w:rFonts w:eastAsia="黑体"/>
          <w:bCs/>
          <w:vanish/>
          <w:sz w:val="28"/>
          <w:szCs w:val="32"/>
        </w:rPr>
      </w:pPr>
      <w:bookmarkStart w:id="87" w:name="_Toc18422551"/>
      <w:bookmarkEnd w:id="87"/>
      <w:bookmarkStart w:id="88" w:name="_Toc22076662"/>
      <w:bookmarkEnd w:id="88"/>
      <w:bookmarkStart w:id="89" w:name="_Toc16196325"/>
      <w:bookmarkEnd w:id="89"/>
      <w:bookmarkStart w:id="90" w:name="_Toc16196509"/>
      <w:bookmarkEnd w:id="90"/>
      <w:bookmarkStart w:id="91" w:name="_Toc16196417"/>
      <w:bookmarkEnd w:id="91"/>
    </w:p>
    <w:p>
      <w:pPr>
        <w:pStyle w:val="25"/>
        <w:keepNext/>
        <w:keepLines/>
        <w:numPr>
          <w:ilvl w:val="1"/>
          <w:numId w:val="8"/>
        </w:numPr>
        <w:ind w:firstLineChars="0"/>
        <w:outlineLvl w:val="2"/>
        <w:rPr>
          <w:rFonts w:eastAsia="黑体"/>
          <w:bCs/>
          <w:vanish/>
          <w:sz w:val="28"/>
          <w:szCs w:val="32"/>
        </w:rPr>
      </w:pPr>
      <w:bookmarkStart w:id="92" w:name="_Toc16196418"/>
      <w:bookmarkEnd w:id="92"/>
      <w:bookmarkStart w:id="93" w:name="_Toc22076663"/>
      <w:bookmarkEnd w:id="93"/>
      <w:bookmarkStart w:id="94" w:name="_Toc18422552"/>
      <w:bookmarkEnd w:id="94"/>
      <w:bookmarkStart w:id="95" w:name="_Toc16196326"/>
      <w:bookmarkEnd w:id="95"/>
      <w:bookmarkStart w:id="96" w:name="_Toc16196510"/>
      <w:bookmarkEnd w:id="96"/>
    </w:p>
    <w:p>
      <w:pPr>
        <w:pStyle w:val="25"/>
        <w:keepNext/>
        <w:keepLines/>
        <w:numPr>
          <w:ilvl w:val="1"/>
          <w:numId w:val="8"/>
        </w:numPr>
        <w:ind w:firstLineChars="0"/>
        <w:outlineLvl w:val="2"/>
        <w:rPr>
          <w:rFonts w:eastAsia="黑体"/>
          <w:bCs/>
          <w:vanish/>
          <w:sz w:val="28"/>
          <w:szCs w:val="32"/>
        </w:rPr>
      </w:pPr>
      <w:bookmarkStart w:id="97" w:name="_Toc16196419"/>
      <w:bookmarkEnd w:id="97"/>
      <w:bookmarkStart w:id="98" w:name="_Toc22076664"/>
      <w:bookmarkEnd w:id="98"/>
      <w:bookmarkStart w:id="99" w:name="_Toc16196511"/>
      <w:bookmarkEnd w:id="99"/>
      <w:bookmarkStart w:id="100" w:name="_Toc16196327"/>
      <w:bookmarkEnd w:id="100"/>
      <w:bookmarkStart w:id="101" w:name="_Toc18422553"/>
      <w:bookmarkEnd w:id="101"/>
    </w:p>
    <w:p>
      <w:pPr>
        <w:pStyle w:val="25"/>
        <w:keepNext/>
        <w:keepLines/>
        <w:numPr>
          <w:ilvl w:val="1"/>
          <w:numId w:val="8"/>
        </w:numPr>
        <w:ind w:firstLineChars="0"/>
        <w:outlineLvl w:val="2"/>
        <w:rPr>
          <w:rFonts w:eastAsia="黑体"/>
          <w:bCs/>
          <w:vanish/>
          <w:sz w:val="28"/>
          <w:szCs w:val="32"/>
        </w:rPr>
      </w:pPr>
      <w:bookmarkStart w:id="102" w:name="_Toc16196420"/>
      <w:bookmarkEnd w:id="102"/>
      <w:bookmarkStart w:id="103" w:name="_Toc16196512"/>
      <w:bookmarkEnd w:id="103"/>
      <w:bookmarkStart w:id="104" w:name="_Toc22076665"/>
      <w:bookmarkEnd w:id="104"/>
      <w:bookmarkStart w:id="105" w:name="_Toc18422554"/>
      <w:bookmarkEnd w:id="105"/>
      <w:bookmarkStart w:id="106" w:name="_Toc16196328"/>
      <w:bookmarkEnd w:id="106"/>
    </w:p>
    <w:p>
      <w:pPr>
        <w:pStyle w:val="4"/>
        <w:numPr>
          <w:ilvl w:val="2"/>
          <w:numId w:val="8"/>
        </w:numPr>
        <w:ind w:firstLineChars="0"/>
      </w:pPr>
      <w:bookmarkStart w:id="107" w:name="_Toc1539704241"/>
      <w:r>
        <w:t>相关法规与政策文件</w:t>
      </w:r>
      <w:bookmarkEnd w:id="72"/>
      <w:bookmarkEnd w:id="73"/>
      <w:bookmarkEnd w:id="74"/>
      <w:bookmarkEnd w:id="75"/>
      <w:bookmarkEnd w:id="76"/>
      <w:bookmarkEnd w:id="107"/>
    </w:p>
    <w:p>
      <w:pPr>
        <w:pStyle w:val="27"/>
        <w:numPr>
          <w:ilvl w:val="0"/>
          <w:numId w:val="9"/>
        </w:numPr>
        <w:ind w:firstLineChars="0"/>
      </w:pPr>
      <w:r>
        <w:rPr>
          <w:rFonts w:hint="eastAsia"/>
        </w:rPr>
        <w:t>《中华人民共和国城乡规划法》2008年1月1日施行</w:t>
      </w:r>
    </w:p>
    <w:p>
      <w:pPr>
        <w:pStyle w:val="27"/>
        <w:numPr>
          <w:ilvl w:val="0"/>
          <w:numId w:val="9"/>
        </w:numPr>
        <w:ind w:firstLineChars="0"/>
      </w:pPr>
      <w:r>
        <w:rPr>
          <w:rFonts w:hint="eastAsia"/>
        </w:rPr>
        <w:t>《电信建设管理办法》</w:t>
      </w:r>
    </w:p>
    <w:p>
      <w:pPr>
        <w:pStyle w:val="27"/>
        <w:numPr>
          <w:ilvl w:val="0"/>
          <w:numId w:val="9"/>
        </w:numPr>
        <w:ind w:firstLineChars="0"/>
      </w:pPr>
      <w:r>
        <w:rPr>
          <w:rFonts w:hint="eastAsia"/>
        </w:rPr>
        <w:t>《中华人民共和国土地管理法》2004年8月28日施行；</w:t>
      </w:r>
    </w:p>
    <w:p>
      <w:pPr>
        <w:pStyle w:val="27"/>
        <w:numPr>
          <w:ilvl w:val="0"/>
          <w:numId w:val="9"/>
        </w:numPr>
        <w:ind w:firstLineChars="0"/>
      </w:pPr>
      <w:r>
        <w:rPr>
          <w:rFonts w:hint="eastAsia"/>
        </w:rPr>
        <w:t>《城市、镇控制性详细规划编制审批办法》，2011年1月1日施行；</w:t>
      </w:r>
    </w:p>
    <w:p>
      <w:pPr>
        <w:pStyle w:val="27"/>
        <w:numPr>
          <w:ilvl w:val="0"/>
          <w:numId w:val="9"/>
        </w:numPr>
        <w:ind w:firstLineChars="0"/>
      </w:pPr>
      <w:r>
        <w:t>国务院</w:t>
      </w:r>
      <w:r>
        <w:rPr>
          <w:rFonts w:hint="eastAsia"/>
        </w:rPr>
        <w:t>《关于大力推进信息化发展和切实保障信息安全的若干意见》</w:t>
      </w:r>
    </w:p>
    <w:p>
      <w:pPr>
        <w:pStyle w:val="27"/>
        <w:numPr>
          <w:ilvl w:val="0"/>
          <w:numId w:val="9"/>
        </w:numPr>
        <w:ind w:firstLineChars="0"/>
      </w:pPr>
      <w:r>
        <w:t>国务院</w:t>
      </w:r>
      <w:r>
        <w:rPr>
          <w:rFonts w:hint="eastAsia"/>
        </w:rPr>
        <w:t>《关于促进信息消费扩大内需的若干意见》</w:t>
      </w:r>
    </w:p>
    <w:p>
      <w:pPr>
        <w:pStyle w:val="27"/>
        <w:numPr>
          <w:ilvl w:val="0"/>
          <w:numId w:val="9"/>
        </w:numPr>
        <w:ind w:firstLineChars="0"/>
      </w:pPr>
      <w:r>
        <w:rPr>
          <w:rFonts w:hint="eastAsia"/>
        </w:rPr>
        <w:t>《国务院关于加强城市基础设施建设的意见》（国发[2013]36号）；</w:t>
      </w:r>
    </w:p>
    <w:p>
      <w:pPr>
        <w:pStyle w:val="27"/>
        <w:numPr>
          <w:ilvl w:val="0"/>
          <w:numId w:val="9"/>
        </w:numPr>
        <w:ind w:firstLineChars="0"/>
      </w:pPr>
      <w:r>
        <w:rPr>
          <w:rFonts w:hint="eastAsia"/>
        </w:rPr>
        <w:t>《“宽带中国”战略及实施方案》（国发〔2013〕31号）；</w:t>
      </w:r>
    </w:p>
    <w:p>
      <w:pPr>
        <w:pStyle w:val="27"/>
        <w:numPr>
          <w:ilvl w:val="0"/>
          <w:numId w:val="9"/>
        </w:numPr>
        <w:ind w:firstLineChars="0"/>
      </w:pPr>
      <w:r>
        <w:rPr>
          <w:rFonts w:hint="eastAsia"/>
        </w:rPr>
        <w:t>工业和信息化部《信息通信行业发展规划(2016-2020年)》</w:t>
      </w:r>
    </w:p>
    <w:p>
      <w:pPr>
        <w:pStyle w:val="27"/>
        <w:numPr>
          <w:ilvl w:val="0"/>
          <w:numId w:val="9"/>
        </w:numPr>
        <w:ind w:firstLineChars="0"/>
      </w:pPr>
      <w:r>
        <w:rPr>
          <w:rFonts w:hint="eastAsia"/>
        </w:rPr>
        <w:t>《关于推进电信基础设施共建共享的紧急通知》（国家工信部联通[2008]235号）；</w:t>
      </w:r>
    </w:p>
    <w:p>
      <w:pPr>
        <w:pStyle w:val="27"/>
        <w:numPr>
          <w:ilvl w:val="0"/>
          <w:numId w:val="9"/>
        </w:numPr>
        <w:ind w:firstLineChars="0"/>
      </w:pPr>
      <w:r>
        <w:rPr>
          <w:rFonts w:hint="eastAsia"/>
        </w:rPr>
        <w:t>《住房和城乡建设部工业和信息化部联合印发&lt;关于加强城市通信基础设施规划的通知&gt;》（建规[2015]132号)；</w:t>
      </w:r>
    </w:p>
    <w:p>
      <w:pPr>
        <w:pStyle w:val="27"/>
        <w:numPr>
          <w:ilvl w:val="0"/>
          <w:numId w:val="9"/>
        </w:numPr>
        <w:ind w:firstLineChars="0"/>
      </w:pPr>
      <w:r>
        <w:rPr>
          <w:rFonts w:hint="eastAsia"/>
        </w:rPr>
        <w:t>《工业和信息化部、国务院</w:t>
      </w:r>
      <w:r>
        <w:rPr>
          <w:rFonts w:hint="eastAsia"/>
          <w:lang w:eastAsia="zh-CN"/>
        </w:rPr>
        <w:t>国</w:t>
      </w:r>
      <w:bookmarkStart w:id="284" w:name="_GoBack"/>
      <w:bookmarkEnd w:id="284"/>
      <w:r>
        <w:rPr>
          <w:rFonts w:hint="eastAsia"/>
        </w:rPr>
        <w:t>有资产监督管理委员会关于2014年推进电信基础设施共建享的实意见》（工部联通〔2014〕87号）；</w:t>
      </w:r>
    </w:p>
    <w:p>
      <w:pPr>
        <w:pStyle w:val="27"/>
        <w:numPr>
          <w:ilvl w:val="0"/>
          <w:numId w:val="9"/>
        </w:numPr>
        <w:ind w:firstLineChars="0"/>
      </w:pPr>
      <w:r>
        <w:rPr>
          <w:rFonts w:hint="eastAsia"/>
        </w:rPr>
        <w:t>《国务院办公厅关于加快高速宽带网络建设推进网络提速降费的指导意见》（国办发〔2015〕41号）；</w:t>
      </w:r>
    </w:p>
    <w:p>
      <w:pPr>
        <w:pStyle w:val="27"/>
        <w:numPr>
          <w:ilvl w:val="0"/>
          <w:numId w:val="9"/>
        </w:numPr>
        <w:ind w:firstLineChars="0"/>
      </w:pPr>
      <w:r>
        <w:rPr>
          <w:rFonts w:hint="eastAsia"/>
        </w:rPr>
        <w:t>《国务院办公厅关于加强城市地下管线建设管理的指导意见》（国办发〔2014〕27号）；</w:t>
      </w:r>
    </w:p>
    <w:p>
      <w:pPr>
        <w:pStyle w:val="27"/>
        <w:numPr>
          <w:ilvl w:val="0"/>
          <w:numId w:val="9"/>
        </w:numPr>
        <w:ind w:firstLineChars="0"/>
      </w:pPr>
      <w:r>
        <w:rPr>
          <w:rFonts w:hint="eastAsia"/>
        </w:rPr>
        <w:t>《海南省人民政府办公厅关于进一步支持全省移动通信基站铁塔建设的通知》（琼府办[2018]2号文）；</w:t>
      </w:r>
    </w:p>
    <w:p>
      <w:pPr>
        <w:pStyle w:val="27"/>
        <w:numPr>
          <w:ilvl w:val="0"/>
          <w:numId w:val="9"/>
        </w:numPr>
        <w:ind w:firstLineChars="0"/>
      </w:pPr>
      <w:r>
        <w:rPr>
          <w:rFonts w:hint="eastAsia"/>
        </w:rPr>
        <w:t>海南省人民政府办公厅《海南省信息基础设施水平巩固提升三年专项行动方案（2018-2020年）》</w:t>
      </w:r>
    </w:p>
    <w:p>
      <w:pPr>
        <w:pStyle w:val="27"/>
        <w:numPr>
          <w:ilvl w:val="0"/>
          <w:numId w:val="9"/>
        </w:numPr>
        <w:ind w:firstLineChars="0"/>
      </w:pPr>
      <w:r>
        <w:rPr>
          <w:rFonts w:hint="eastAsia"/>
        </w:rPr>
        <w:t>《海南省国民经济和社会发展第十三个五年规划纲要》；</w:t>
      </w:r>
    </w:p>
    <w:p>
      <w:pPr>
        <w:pStyle w:val="27"/>
        <w:numPr>
          <w:ilvl w:val="0"/>
          <w:numId w:val="9"/>
        </w:numPr>
        <w:ind w:firstLineChars="0"/>
      </w:pPr>
      <w:r>
        <w:rPr>
          <w:rFonts w:hint="eastAsia"/>
        </w:rPr>
        <w:t>《海南省信息通信业“十三五”发展规划（2</w:t>
      </w:r>
      <w:r>
        <w:t>016</w:t>
      </w:r>
      <w:r>
        <w:rPr>
          <w:rFonts w:hint="eastAsia"/>
        </w:rPr>
        <w:t>-</w:t>
      </w:r>
      <w:r>
        <w:t>2020年</w:t>
      </w:r>
      <w:r>
        <w:rPr>
          <w:rFonts w:hint="eastAsia"/>
        </w:rPr>
        <w:t>）》</w:t>
      </w:r>
    </w:p>
    <w:p>
      <w:pPr>
        <w:pStyle w:val="27"/>
        <w:numPr>
          <w:ilvl w:val="0"/>
          <w:numId w:val="9"/>
        </w:numPr>
        <w:ind w:firstLineChars="0"/>
      </w:pPr>
      <w:r>
        <w:rPr>
          <w:rFonts w:hint="eastAsia"/>
        </w:rPr>
        <w:t>《海南国际旅游岛建设发展规划纲要（2010--2020）》</w:t>
      </w:r>
    </w:p>
    <w:p>
      <w:pPr>
        <w:pStyle w:val="27"/>
        <w:numPr>
          <w:ilvl w:val="0"/>
          <w:numId w:val="9"/>
        </w:numPr>
        <w:ind w:firstLineChars="0"/>
      </w:pPr>
      <w:r>
        <w:rPr>
          <w:rFonts w:hint="eastAsia"/>
        </w:rPr>
        <w:t>《海南生态智慧新城总体规划（2015-2030年）及起步区（软件园二期）控制性详细规划》</w:t>
      </w:r>
    </w:p>
    <w:p>
      <w:pPr>
        <w:pStyle w:val="4"/>
        <w:numPr>
          <w:ilvl w:val="2"/>
          <w:numId w:val="8"/>
        </w:numPr>
        <w:ind w:firstLineChars="0"/>
      </w:pPr>
      <w:bookmarkStart w:id="108" w:name="_Toc427231647"/>
      <w:bookmarkStart w:id="109" w:name="_Toc446666408"/>
      <w:bookmarkStart w:id="110" w:name="_Toc427223638"/>
      <w:bookmarkStart w:id="111" w:name="_Toc472351110"/>
      <w:bookmarkStart w:id="112" w:name="_Toc454802530"/>
      <w:bookmarkStart w:id="113" w:name="_Toc1999452594"/>
      <w:r>
        <w:t>相关标准和规范</w:t>
      </w:r>
      <w:bookmarkEnd w:id="108"/>
      <w:bookmarkEnd w:id="109"/>
      <w:bookmarkEnd w:id="110"/>
      <w:bookmarkEnd w:id="111"/>
      <w:bookmarkEnd w:id="112"/>
      <w:bookmarkEnd w:id="113"/>
    </w:p>
    <w:p>
      <w:pPr>
        <w:pStyle w:val="27"/>
        <w:numPr>
          <w:ilvl w:val="0"/>
          <w:numId w:val="10"/>
        </w:numPr>
        <w:ind w:firstLineChars="0"/>
      </w:pPr>
      <w:r>
        <w:rPr>
          <w:rFonts w:hint="eastAsia"/>
        </w:rPr>
        <w:t>GB50289-1998《城市工程管线综合规划规范》</w:t>
      </w:r>
    </w:p>
    <w:p>
      <w:pPr>
        <w:pStyle w:val="27"/>
        <w:numPr>
          <w:ilvl w:val="0"/>
          <w:numId w:val="10"/>
        </w:numPr>
        <w:ind w:firstLineChars="0"/>
      </w:pPr>
      <w:r>
        <w:rPr>
          <w:rFonts w:hint="eastAsia"/>
        </w:rPr>
        <w:t>YD5102-2010《通信线路工程设计规范》</w:t>
      </w:r>
    </w:p>
    <w:p>
      <w:pPr>
        <w:pStyle w:val="27"/>
        <w:numPr>
          <w:ilvl w:val="0"/>
          <w:numId w:val="10"/>
        </w:numPr>
        <w:ind w:firstLineChars="0"/>
      </w:pPr>
      <w:r>
        <w:rPr>
          <w:rFonts w:hint="eastAsia"/>
        </w:rPr>
        <w:t>GY5075-2005《城市有线广播电视网络设计规范》</w:t>
      </w:r>
    </w:p>
    <w:p>
      <w:pPr>
        <w:pStyle w:val="27"/>
        <w:numPr>
          <w:ilvl w:val="0"/>
          <w:numId w:val="10"/>
        </w:numPr>
        <w:ind w:firstLineChars="0"/>
      </w:pPr>
      <w:r>
        <w:rPr>
          <w:rFonts w:hint="eastAsia"/>
        </w:rPr>
        <w:t>GB50373-2006《通信管道与通道工程设计规范》</w:t>
      </w:r>
    </w:p>
    <w:p>
      <w:pPr>
        <w:pStyle w:val="27"/>
        <w:numPr>
          <w:ilvl w:val="0"/>
          <w:numId w:val="10"/>
        </w:numPr>
        <w:ind w:firstLineChars="0"/>
      </w:pPr>
      <w:r>
        <w:rPr>
          <w:rFonts w:hint="eastAsia"/>
        </w:rPr>
        <w:t>GB50846-2012《住宅区和住宅建筑内光纤到户通信设施工程设计规范》</w:t>
      </w:r>
    </w:p>
    <w:p>
      <w:pPr>
        <w:pStyle w:val="27"/>
        <w:numPr>
          <w:ilvl w:val="0"/>
          <w:numId w:val="10"/>
        </w:numPr>
        <w:ind w:firstLineChars="0"/>
      </w:pPr>
      <w:r>
        <w:rPr>
          <w:rFonts w:hint="eastAsia"/>
        </w:rPr>
        <w:t>GB/T50853-2013《城市通信工程规划规范》</w:t>
      </w:r>
    </w:p>
    <w:p>
      <w:pPr>
        <w:pStyle w:val="27"/>
        <w:numPr>
          <w:ilvl w:val="0"/>
          <w:numId w:val="10"/>
        </w:numPr>
        <w:ind w:firstLineChars="0"/>
      </w:pPr>
      <w:r>
        <w:rPr>
          <w:rFonts w:hint="eastAsia"/>
        </w:rPr>
        <w:t>GB8702-2014《电磁环境控制限值》</w:t>
      </w:r>
    </w:p>
    <w:p>
      <w:pPr>
        <w:pStyle w:val="3"/>
        <w:numPr>
          <w:ilvl w:val="1"/>
          <w:numId w:val="4"/>
        </w:numPr>
        <w:spacing w:before="156" w:after="163"/>
      </w:pPr>
      <w:bookmarkStart w:id="114" w:name="_Toc1802568868"/>
      <w:r>
        <w:t>规划原则</w:t>
      </w:r>
      <w:bookmarkEnd w:id="114"/>
    </w:p>
    <w:p>
      <w:pPr>
        <w:pStyle w:val="25"/>
        <w:ind w:firstLine="482"/>
      </w:pPr>
      <w:r>
        <w:rPr>
          <w:rFonts w:hint="eastAsia"/>
          <w:b/>
        </w:rPr>
        <w:t>技术先进，架构超前。</w:t>
      </w:r>
      <w:r>
        <w:rPr>
          <w:rFonts w:hint="eastAsia"/>
        </w:rPr>
        <w:t>按业界最新技术进行规划</w:t>
      </w:r>
      <w:r>
        <w:t>。</w:t>
      </w:r>
      <w:r>
        <w:rPr>
          <w:rFonts w:hint="eastAsia"/>
        </w:rPr>
        <w:t>以集约化、全IP、全光网等先进架构，为</w:t>
      </w:r>
      <w:r>
        <w:t>5G</w:t>
      </w:r>
      <w:r>
        <w:rPr>
          <w:rFonts w:hint="eastAsia"/>
        </w:rPr>
        <w:t>、超高速率宽带、IPTV、WLAN等业务提供全方面承载。</w:t>
      </w:r>
    </w:p>
    <w:p>
      <w:pPr>
        <w:pStyle w:val="25"/>
        <w:ind w:firstLine="482"/>
      </w:pPr>
      <w:r>
        <w:rPr>
          <w:rFonts w:hint="eastAsia"/>
          <w:b/>
        </w:rPr>
        <w:t>明确定位，协调统一。</w:t>
      </w:r>
      <w:r>
        <w:rPr>
          <w:rFonts w:hint="eastAsia"/>
        </w:rPr>
        <w:t>规划要紧密结合海南生态智慧新城总体规划，注意与国家和地方通信业总体规划协调，放开眼光，拓宽思路，保证通信基础设施规划的协调性和战略性。</w:t>
      </w:r>
    </w:p>
    <w:p>
      <w:pPr>
        <w:pStyle w:val="25"/>
        <w:ind w:firstLine="482"/>
      </w:pPr>
      <w:r>
        <w:rPr>
          <w:rFonts w:hint="eastAsia"/>
          <w:b/>
        </w:rPr>
        <w:t>统筹规划，分步实施。</w:t>
      </w:r>
      <w:r>
        <w:rPr>
          <w:rFonts w:hint="eastAsia"/>
        </w:rPr>
        <w:t>统筹考虑各方需求，提出远期目标根据投资及建设进度，分步实施。</w:t>
      </w:r>
    </w:p>
    <w:p>
      <w:pPr>
        <w:pStyle w:val="25"/>
        <w:ind w:firstLine="482"/>
      </w:pPr>
      <w:r>
        <w:rPr>
          <w:rFonts w:hint="eastAsia"/>
          <w:b/>
        </w:rPr>
        <w:t>绿色节能，低碳环保。</w:t>
      </w:r>
      <w:r>
        <w:rPr>
          <w:rFonts w:hint="eastAsia"/>
        </w:rPr>
        <w:t>通过各种高效的建设模式，提高设备效率，减少各种资源和能源的消耗。</w:t>
      </w:r>
    </w:p>
    <w:p>
      <w:pPr>
        <w:pStyle w:val="3"/>
        <w:numPr>
          <w:ilvl w:val="1"/>
          <w:numId w:val="4"/>
        </w:numPr>
        <w:spacing w:before="156" w:after="163"/>
      </w:pPr>
      <w:bookmarkStart w:id="115" w:name="_Toc620571737"/>
      <w:r>
        <w:rPr>
          <w:rFonts w:hint="eastAsia"/>
        </w:rPr>
        <w:t>规划目标</w:t>
      </w:r>
      <w:bookmarkEnd w:id="115"/>
    </w:p>
    <w:p>
      <w:pPr>
        <w:pStyle w:val="25"/>
        <w:ind w:firstLine="480"/>
      </w:pPr>
      <w:r>
        <w:rPr>
          <w:rFonts w:hint="eastAsia"/>
        </w:rPr>
        <w:t>通信基础设施专项规划应以打造新一代高速、移动、泛在、安全的战略性公共基础设施为总体目标，合理规划通信局所、移动通信基站、通信廊道和光缆交接箱的布局和规模，满足全光网络和高速移动宽带网络全面深度覆盖的发展需要，有力支撑社会经济发展。</w:t>
      </w:r>
    </w:p>
    <w:p>
      <w:pPr>
        <w:pStyle w:val="25"/>
        <w:ind w:firstLine="480"/>
      </w:pPr>
      <w:r>
        <w:rPr>
          <w:rFonts w:hint="eastAsia"/>
        </w:rPr>
        <w:t>实现无线通信全区无缝覆盖，提高用户感受度。实现</w:t>
      </w:r>
      <w:r>
        <w:t>5</w:t>
      </w:r>
      <w:r>
        <w:rPr>
          <w:rFonts w:hint="eastAsia"/>
        </w:rPr>
        <w:t>G网络在规划区的深度覆盖，全面覆盖居民区、商业街、行政区、旅游区区，全面提升高速公路、主干道等交通线路、旅游景点的覆盖水平。</w:t>
      </w:r>
    </w:p>
    <w:p>
      <w:pPr>
        <w:pStyle w:val="25"/>
        <w:ind w:firstLine="480"/>
      </w:pPr>
      <w:r>
        <w:rPr>
          <w:rFonts w:hint="eastAsia"/>
        </w:rPr>
        <w:t>规划区各类通信机房建设必须满足区域内通信需求，支撑规划区内数字化建设，支持指挥中心整合所有信息并协调各领域的合理工作。并探索各类具有特色的通信业务；</w:t>
      </w:r>
    </w:p>
    <w:p>
      <w:pPr>
        <w:pStyle w:val="25"/>
        <w:ind w:firstLine="480"/>
      </w:pPr>
      <w:r>
        <w:t>各规划期内规划目标</w:t>
      </w:r>
      <w:r>
        <w:rPr>
          <w:rFonts w:hint="eastAsia"/>
        </w:rPr>
        <w:t>：</w:t>
      </w:r>
    </w:p>
    <w:p>
      <w:pPr>
        <w:pStyle w:val="25"/>
        <w:ind w:firstLine="482"/>
        <w:rPr>
          <w:b/>
        </w:rPr>
      </w:pPr>
      <w:r>
        <w:rPr>
          <w:b/>
        </w:rPr>
        <w:t>近期</w:t>
      </w:r>
      <w:r>
        <w:rPr>
          <w:rFonts w:hint="eastAsia"/>
          <w:b/>
        </w:rPr>
        <w:t>（2</w:t>
      </w:r>
      <w:r>
        <w:rPr>
          <w:b/>
        </w:rPr>
        <w:t>019</w:t>
      </w:r>
      <w:r>
        <w:rPr>
          <w:rFonts w:hint="eastAsia"/>
          <w:b/>
        </w:rPr>
        <w:t>年-</w:t>
      </w:r>
      <w:r>
        <w:rPr>
          <w:b/>
        </w:rPr>
        <w:t>2020年</w:t>
      </w:r>
      <w:r>
        <w:rPr>
          <w:rFonts w:hint="eastAsia"/>
          <w:b/>
        </w:rPr>
        <w:t>6月）：</w:t>
      </w:r>
    </w:p>
    <w:p>
      <w:pPr>
        <w:pStyle w:val="25"/>
        <w:ind w:firstLine="480"/>
      </w:pPr>
      <w:r>
        <w:t>无线网</w:t>
      </w:r>
      <w:r>
        <w:rPr>
          <w:rFonts w:hint="eastAsia"/>
        </w:rPr>
        <w:t>：实现起步区北部片区主干道4G网络全覆盖，微城未来学校深度覆盖。提升腾讯生态村等已开工项目的无线覆盖水平。</w:t>
      </w:r>
    </w:p>
    <w:p>
      <w:pPr>
        <w:pStyle w:val="25"/>
        <w:ind w:firstLine="480"/>
      </w:pPr>
      <w:r>
        <w:t>通信局房及光缆</w:t>
      </w:r>
      <w:r>
        <w:rPr>
          <w:rFonts w:hint="eastAsia"/>
        </w:rPr>
        <w:t>：部署综合接入机房，储备通信机房及光缆资源，为园区5G建设做准备。2</w:t>
      </w:r>
      <w:r>
        <w:t>019年内需完成</w:t>
      </w:r>
      <w:r>
        <w:rPr>
          <w:rFonts w:hint="eastAsia"/>
        </w:rPr>
        <w:t>未来</w:t>
      </w:r>
      <w:r>
        <w:t>学校通信</w:t>
      </w:r>
      <w:r>
        <w:rPr>
          <w:rFonts w:hint="eastAsia"/>
        </w:rPr>
        <w:t>机</w:t>
      </w:r>
      <w:r>
        <w:t>房及汇聚光缆</w:t>
      </w:r>
      <w:r>
        <w:rPr>
          <w:rFonts w:hint="eastAsia"/>
        </w:rPr>
        <w:t>建设，</w:t>
      </w:r>
      <w:r>
        <w:t>已建基站</w:t>
      </w:r>
      <w:r>
        <w:rPr>
          <w:rFonts w:hint="eastAsia"/>
        </w:rPr>
        <w:t>、</w:t>
      </w:r>
      <w:r>
        <w:t>室分配套光缆建设</w:t>
      </w:r>
      <w:r>
        <w:rPr>
          <w:rFonts w:hint="eastAsia"/>
        </w:rPr>
        <w:t>，并完成中远期通信机房的选址。</w:t>
      </w:r>
    </w:p>
    <w:p>
      <w:pPr>
        <w:pStyle w:val="25"/>
        <w:ind w:firstLine="482"/>
        <w:rPr>
          <w:b/>
        </w:rPr>
      </w:pPr>
      <w:r>
        <w:rPr>
          <w:rFonts w:hint="eastAsia"/>
          <w:b/>
        </w:rPr>
        <w:t>中</w:t>
      </w:r>
      <w:r>
        <w:rPr>
          <w:b/>
        </w:rPr>
        <w:t>期</w:t>
      </w:r>
      <w:r>
        <w:rPr>
          <w:rFonts w:hint="eastAsia"/>
          <w:b/>
        </w:rPr>
        <w:t>（2</w:t>
      </w:r>
      <w:r>
        <w:rPr>
          <w:b/>
        </w:rPr>
        <w:t>020</w:t>
      </w:r>
      <w:r>
        <w:rPr>
          <w:rFonts w:hint="eastAsia"/>
          <w:b/>
        </w:rPr>
        <w:t>年6月-</w:t>
      </w:r>
      <w:r>
        <w:rPr>
          <w:b/>
        </w:rPr>
        <w:t>2021年底</w:t>
      </w:r>
      <w:r>
        <w:rPr>
          <w:rFonts w:hint="eastAsia"/>
          <w:b/>
        </w:rPr>
        <w:t>）：</w:t>
      </w:r>
    </w:p>
    <w:p>
      <w:pPr>
        <w:pStyle w:val="25"/>
        <w:ind w:firstLine="480"/>
      </w:pPr>
      <w:r>
        <w:t>无线网</w:t>
      </w:r>
      <w:r>
        <w:rPr>
          <w:rFonts w:hint="eastAsia"/>
        </w:rPr>
        <w:t>：结合项目开发进展，通过宏站补点建设、室内分布系统建设、继续提升起步区4G覆盖水平。满足百</w:t>
      </w:r>
      <w:r>
        <w:t>度生态村</w:t>
      </w:r>
      <w:r>
        <w:rPr>
          <w:rFonts w:hint="eastAsia"/>
        </w:rPr>
        <w:t>、智力产业基地、</w:t>
      </w:r>
      <w:r>
        <w:t>高知社区</w:t>
      </w:r>
      <w:r>
        <w:rPr>
          <w:rFonts w:hint="eastAsia"/>
        </w:rPr>
        <w:t>、</w:t>
      </w:r>
      <w:r>
        <w:t>国际电竞港</w:t>
      </w:r>
      <w:r>
        <w:rPr>
          <w:rFonts w:hint="eastAsia"/>
        </w:rPr>
        <w:t>、</w:t>
      </w:r>
      <w:r>
        <w:t>游戏数码港等已开工项目的基本</w:t>
      </w:r>
      <w:r>
        <w:rPr>
          <w:rFonts w:hint="eastAsia"/>
        </w:rPr>
        <w:t>无线覆盖需求。</w:t>
      </w:r>
    </w:p>
    <w:p>
      <w:pPr>
        <w:pStyle w:val="25"/>
        <w:ind w:firstLine="480"/>
      </w:pPr>
      <w:r>
        <w:rPr>
          <w:rFonts w:hint="eastAsia"/>
        </w:rPr>
        <w:t>结合起步区产业建设进度及产业需求，全面布局5G网络覆盖，实现起步区内微城未来学校、在建产业园、在建住宅区、主干道等场景5G全覆盖。并支撑智慧园区、智慧小区、车联网、物联网等应用。</w:t>
      </w:r>
    </w:p>
    <w:p>
      <w:pPr>
        <w:pStyle w:val="25"/>
        <w:ind w:firstLine="480"/>
      </w:pPr>
      <w:r>
        <w:t>通信局房及光缆</w:t>
      </w:r>
      <w:r>
        <w:rPr>
          <w:rFonts w:hint="eastAsia"/>
        </w:rPr>
        <w:t>：全部</w:t>
      </w:r>
      <w:r>
        <w:t>部署起步区北部片区通信局房及汇聚光缆建设</w:t>
      </w:r>
      <w:r>
        <w:rPr>
          <w:rFonts w:hint="eastAsia"/>
        </w:rPr>
        <w:t>；推进综合接入光缆环的建设，综合接入光缆环、光缆分纤点的建设进度要与产业园建设进度相同步，达到每个产业园区至少1-</w:t>
      </w:r>
      <w:r>
        <w:t>2个分纤点</w:t>
      </w:r>
      <w:r>
        <w:rPr>
          <w:rFonts w:hint="eastAsia"/>
        </w:rPr>
        <w:t>；实现各</w:t>
      </w:r>
      <w:r>
        <w:t>产业园区投入使用的同时</w:t>
      </w:r>
      <w:r>
        <w:rPr>
          <w:rFonts w:hint="eastAsia"/>
        </w:rPr>
        <w:t>，</w:t>
      </w:r>
      <w:r>
        <w:t>综合接入光缆环及分纤点同步覆盖到位</w:t>
      </w:r>
      <w:r>
        <w:rPr>
          <w:rFonts w:hint="eastAsia"/>
        </w:rPr>
        <w:t>。</w:t>
      </w:r>
    </w:p>
    <w:p>
      <w:pPr>
        <w:pStyle w:val="25"/>
        <w:ind w:firstLine="482"/>
        <w:rPr>
          <w:b/>
        </w:rPr>
      </w:pPr>
      <w:r>
        <w:rPr>
          <w:rFonts w:hint="eastAsia"/>
          <w:b/>
        </w:rPr>
        <w:t>远</w:t>
      </w:r>
      <w:r>
        <w:rPr>
          <w:b/>
        </w:rPr>
        <w:t>期</w:t>
      </w:r>
      <w:r>
        <w:rPr>
          <w:rFonts w:hint="eastAsia"/>
          <w:b/>
        </w:rPr>
        <w:t>（2</w:t>
      </w:r>
      <w:r>
        <w:rPr>
          <w:b/>
        </w:rPr>
        <w:t>022</w:t>
      </w:r>
      <w:r>
        <w:rPr>
          <w:rFonts w:hint="eastAsia"/>
          <w:b/>
        </w:rPr>
        <w:t>年-</w:t>
      </w:r>
      <w:r>
        <w:rPr>
          <w:b/>
        </w:rPr>
        <w:t>2030年</w:t>
      </w:r>
      <w:r>
        <w:rPr>
          <w:rFonts w:hint="eastAsia"/>
          <w:b/>
        </w:rPr>
        <w:t>）：</w:t>
      </w:r>
    </w:p>
    <w:p>
      <w:pPr>
        <w:pStyle w:val="25"/>
        <w:ind w:firstLine="480"/>
      </w:pPr>
      <w:r>
        <w:rPr>
          <w:rFonts w:hint="eastAsia"/>
        </w:rPr>
        <w:t>进一步提升起步区远期建设项目的5G网络覆盖水平；通过宏站补点、微站、室内分布等方式，实现起步区5G深度覆盖。结合起步区内产业的开展，5G网络应用规模化开展。</w:t>
      </w:r>
    </w:p>
    <w:p>
      <w:pPr>
        <w:pStyle w:val="25"/>
        <w:ind w:firstLine="480"/>
      </w:pPr>
      <w:r>
        <w:t>通信局房及光缆</w:t>
      </w:r>
      <w:r>
        <w:rPr>
          <w:rFonts w:hint="eastAsia"/>
        </w:rPr>
        <w:t>：全部</w:t>
      </w:r>
      <w:r>
        <w:t>部署起步区</w:t>
      </w:r>
      <w:r>
        <w:rPr>
          <w:rFonts w:hint="eastAsia"/>
        </w:rPr>
        <w:t>南</w:t>
      </w:r>
      <w:r>
        <w:t>部片区通信局房及汇聚光缆建设</w:t>
      </w:r>
      <w:r>
        <w:rPr>
          <w:rFonts w:hint="eastAsia"/>
        </w:rPr>
        <w:t>；实现</w:t>
      </w:r>
      <w:r>
        <w:t>综合接入光缆环及分纤点与项目建设进度同步覆盖到位</w:t>
      </w:r>
      <w:r>
        <w:rPr>
          <w:rFonts w:hint="eastAsia"/>
        </w:rPr>
        <w:t>。</w:t>
      </w:r>
    </w:p>
    <w:p>
      <w:pPr>
        <w:pStyle w:val="2"/>
        <w:numPr>
          <w:ilvl w:val="0"/>
          <w:numId w:val="3"/>
        </w:numPr>
        <w:spacing w:before="326" w:after="326"/>
        <w:ind w:firstLineChars="0"/>
      </w:pPr>
      <w:bookmarkStart w:id="116" w:name="_Toc1658838612"/>
      <w:r>
        <w:rPr>
          <w:rFonts w:hint="eastAsia"/>
        </w:rPr>
        <w:t>业务需求分析</w:t>
      </w:r>
      <w:bookmarkEnd w:id="116"/>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117" w:name="_Toc22076671"/>
      <w:bookmarkEnd w:id="117"/>
      <w:bookmarkStart w:id="118" w:name="_Toc18422560"/>
      <w:bookmarkEnd w:id="118"/>
      <w:bookmarkStart w:id="119" w:name="_Toc16196530"/>
      <w:bookmarkEnd w:id="119"/>
      <w:bookmarkStart w:id="120" w:name="_Toc16196438"/>
      <w:bookmarkEnd w:id="120"/>
      <w:bookmarkStart w:id="121" w:name="_Toc16196346"/>
      <w:bookmarkEnd w:id="121"/>
    </w:p>
    <w:p>
      <w:pPr>
        <w:ind w:firstLine="480"/>
      </w:pPr>
      <w:r>
        <w:rPr>
          <w:rFonts w:hint="eastAsia"/>
        </w:rPr>
        <w:t>业务需求主要包括宽带业务需求、无线网络需求，新型业务需求等指。</w:t>
      </w:r>
    </w:p>
    <w:p>
      <w:pPr>
        <w:ind w:firstLine="480"/>
      </w:pPr>
      <w:r>
        <w:rPr>
          <w:rFonts w:hint="eastAsia"/>
        </w:rPr>
        <w:t>（1）宽带业务</w:t>
      </w:r>
    </w:p>
    <w:p>
      <w:pPr>
        <w:ind w:firstLine="480"/>
      </w:pPr>
      <w:r>
        <w:rPr>
          <w:rFonts w:hint="eastAsia"/>
        </w:rPr>
        <w:t>包括个人宽带业务和企业专线业务。</w:t>
      </w:r>
    </w:p>
    <w:p>
      <w:pPr>
        <w:pStyle w:val="40"/>
        <w:numPr>
          <w:ilvl w:val="0"/>
          <w:numId w:val="0"/>
        </w:numPr>
        <w:ind w:firstLine="480" w:firstLineChars="200"/>
      </w:pPr>
      <w:r>
        <w:rPr>
          <w:rFonts w:hint="eastAsia"/>
        </w:rPr>
        <w:t>（2）无线网业务</w:t>
      </w:r>
    </w:p>
    <w:p>
      <w:pPr>
        <w:ind w:firstLine="480"/>
      </w:pPr>
      <w:r>
        <w:rPr>
          <w:rFonts w:hint="eastAsia"/>
        </w:rPr>
        <w:t>包括无线基站网络和室内分布网络。</w:t>
      </w:r>
    </w:p>
    <w:p>
      <w:pPr>
        <w:pStyle w:val="40"/>
        <w:numPr>
          <w:ilvl w:val="0"/>
          <w:numId w:val="0"/>
        </w:numPr>
        <w:ind w:firstLine="480" w:firstLineChars="200"/>
      </w:pPr>
      <w:r>
        <w:rPr>
          <w:rFonts w:hint="eastAsia"/>
        </w:rPr>
        <w:t>（3）新型业务需求</w:t>
      </w:r>
    </w:p>
    <w:p>
      <w:pPr>
        <w:pStyle w:val="40"/>
        <w:numPr>
          <w:ilvl w:val="0"/>
          <w:numId w:val="0"/>
        </w:numPr>
        <w:ind w:firstLine="480" w:firstLineChars="200"/>
      </w:pPr>
      <w:r>
        <w:rPr>
          <w:rFonts w:hint="eastAsia"/>
        </w:rPr>
        <w:t>包括智慧停车、智慧医疗、智慧商店、智慧交通、智能家居、智慧小区等</w:t>
      </w:r>
    </w:p>
    <w:p>
      <w:pPr>
        <w:pStyle w:val="3"/>
        <w:numPr>
          <w:ilvl w:val="1"/>
          <w:numId w:val="4"/>
        </w:numPr>
        <w:spacing w:before="156" w:after="163"/>
      </w:pPr>
      <w:bookmarkStart w:id="122" w:name="_Toc1553995063"/>
      <w:r>
        <w:rPr>
          <w:rFonts w:hint="eastAsia"/>
        </w:rPr>
        <w:t>园区产业对通信基础设施的需求</w:t>
      </w:r>
      <w:bookmarkEnd w:id="122"/>
    </w:p>
    <w:p>
      <w:pPr>
        <w:ind w:firstLine="480"/>
      </w:pPr>
      <w:r>
        <w:rPr>
          <w:rFonts w:hint="eastAsia"/>
        </w:rPr>
        <w:t>生态智慧新城起步区产业布局结构从北向南依次为：“数字文体产业区、数字金融产业区和数字健康产业区”，三大产业内容可归纳为“两港四村两基地”，分别为：海南国际电竞港、中国游戏数码港、腾讯生态村、百度生态村、离岸数据生态村、数字健康生态村、中国智力运动产业基地、数字经济总部基地。</w:t>
      </w:r>
    </w:p>
    <w:p>
      <w:pPr>
        <w:ind w:firstLine="480"/>
      </w:pPr>
      <w:r>
        <w:rPr>
          <w:rFonts w:hint="eastAsia"/>
        </w:rPr>
        <w:t>生态智慧新城起步区产业布局将带来大量的新技术及新业务的应用，如大数据、云计算、区块链、物联网、车联网、智慧城市、智能家居、智慧医疗、智慧交通、自动驾驶等。</w:t>
      </w:r>
    </w:p>
    <w:p>
      <w:pPr>
        <w:ind w:firstLine="480"/>
      </w:pPr>
      <w:r>
        <w:rPr>
          <w:rFonts w:hint="eastAsia"/>
        </w:rPr>
        <w:t>园区内各类业务对通信网络的要求：</w:t>
      </w:r>
    </w:p>
    <w:tbl>
      <w:tblPr>
        <w:tblStyle w:val="17"/>
        <w:tblW w:w="5000" w:type="pct"/>
        <w:tblInd w:w="0" w:type="dxa"/>
        <w:tblLayout w:type="autofit"/>
        <w:tblCellMar>
          <w:top w:w="0" w:type="dxa"/>
          <w:left w:w="108" w:type="dxa"/>
          <w:bottom w:w="0" w:type="dxa"/>
          <w:right w:w="108" w:type="dxa"/>
        </w:tblCellMar>
      </w:tblPr>
      <w:tblGrid>
        <w:gridCol w:w="2899"/>
        <w:gridCol w:w="2459"/>
        <w:gridCol w:w="1740"/>
        <w:gridCol w:w="1424"/>
      </w:tblGrid>
      <w:tr>
        <w:tblPrEx>
          <w:tblCellMar>
            <w:top w:w="0" w:type="dxa"/>
            <w:left w:w="108" w:type="dxa"/>
            <w:bottom w:w="0" w:type="dxa"/>
            <w:right w:w="108" w:type="dxa"/>
          </w:tblCellMar>
        </w:tblPrEx>
        <w:trPr>
          <w:trHeight w:val="270" w:hRule="atLeast"/>
        </w:trPr>
        <w:tc>
          <w:tcPr>
            <w:tcW w:w="1701"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应用业务</w:t>
            </w:r>
          </w:p>
        </w:tc>
        <w:tc>
          <w:tcPr>
            <w:tcW w:w="1443"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下行/上行速率</w:t>
            </w:r>
          </w:p>
        </w:tc>
        <w:tc>
          <w:tcPr>
            <w:tcW w:w="1021"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端到端时延</w:t>
            </w:r>
          </w:p>
        </w:tc>
        <w:tc>
          <w:tcPr>
            <w:tcW w:w="835"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覆盖场景</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AR/VR/3D视频</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1Gbps/500Mbps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　</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室内热点</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UHD高清视频下载</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300Mbps/50Mbps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　</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全区域</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4K/8K高清</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100Mbps/50Mbps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　</w:t>
            </w:r>
          </w:p>
        </w:tc>
        <w:tc>
          <w:tcPr>
            <w:tcW w:w="835"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全区域</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自媒体直播</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20Mbps/50Mbps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　</w:t>
            </w:r>
          </w:p>
        </w:tc>
        <w:tc>
          <w:tcPr>
            <w:tcW w:w="835"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全区域</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触觉互动</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&gt;100Mbps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0.5ms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医院</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精密工业控制</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工业园区</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无人机协同</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5ms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飞行区域</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运动控制/自动驾驶</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道路</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智能交通</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10ms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道路</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智能停车</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10ms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停车场</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VR会议</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&gt;300Mbps/50Mbps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10ms</w:t>
            </w:r>
          </w:p>
        </w:tc>
        <w:tc>
          <w:tcPr>
            <w:tcW w:w="83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办公区域</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远程控制</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50ms</w:t>
            </w:r>
          </w:p>
        </w:tc>
        <w:tc>
          <w:tcPr>
            <w:tcW w:w="835"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全区域</w:t>
            </w:r>
          </w:p>
        </w:tc>
      </w:tr>
      <w:tr>
        <w:tblPrEx>
          <w:tblCellMar>
            <w:top w:w="0" w:type="dxa"/>
            <w:left w:w="108" w:type="dxa"/>
            <w:bottom w:w="0" w:type="dxa"/>
            <w:right w:w="108" w:type="dxa"/>
          </w:tblCellMar>
        </w:tblPrEx>
        <w:trPr>
          <w:trHeight w:val="270" w:hRule="atLeast"/>
        </w:trPr>
        <w:tc>
          <w:tcPr>
            <w:tcW w:w="1701" w:type="pct"/>
            <w:tcBorders>
              <w:top w:val="nil"/>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远程监控</w:t>
            </w:r>
          </w:p>
        </w:tc>
        <w:tc>
          <w:tcPr>
            <w:tcW w:w="1443"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1~10Mbps</w:t>
            </w:r>
          </w:p>
        </w:tc>
        <w:tc>
          <w:tcPr>
            <w:tcW w:w="1021"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50ms</w:t>
            </w:r>
          </w:p>
        </w:tc>
        <w:tc>
          <w:tcPr>
            <w:tcW w:w="835"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全区域</w:t>
            </w:r>
          </w:p>
        </w:tc>
      </w:tr>
    </w:tbl>
    <w:p>
      <w:pPr>
        <w:ind w:firstLine="480"/>
      </w:pPr>
      <w:r>
        <w:rPr>
          <w:rFonts w:hint="eastAsia"/>
        </w:rPr>
        <w:t>各产业园区对通信业务的需求</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2718"/>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产业园区</w:t>
            </w:r>
          </w:p>
        </w:tc>
        <w:tc>
          <w:tcPr>
            <w:tcW w:w="2845"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相关技术及应用</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通信业务需求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海南国际电竞港</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云游戏、云计算</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中国游戏数码港</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云游戏、云计算</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腾讯生态村</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云计算、大数据、人工智能、区块链等</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高速互联网、企业专线、5G网络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百度生态村</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云计算、大数据、人工智能、区块链、智慧园区、智能政务、智能教育、智能旅游、智能驾驶等</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高速互联网、企业专线、5G网络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离岸数据生态村</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云计算、数据运营</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高速互联网、企业专线、5G网络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数字健康生态村</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大数据、智慧医疗</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中国智力运动产业基地</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物联网、人工智能、大数据</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高速互联网、5G网络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1"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数字经济总部基地</w:t>
            </w:r>
          </w:p>
        </w:tc>
        <w:tc>
          <w:tcPr>
            <w:tcW w:w="2845" w:type="pct"/>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工智能、区块链、云计算、大数据、物联网</w:t>
            </w:r>
          </w:p>
        </w:tc>
        <w:tc>
          <w:tcPr>
            <w:tcW w:w="126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高速互联网、企业专线、5G网络</w:t>
            </w:r>
          </w:p>
        </w:tc>
      </w:tr>
    </w:tbl>
    <w:p>
      <w:pPr>
        <w:pStyle w:val="3"/>
        <w:numPr>
          <w:ilvl w:val="1"/>
          <w:numId w:val="4"/>
        </w:numPr>
        <w:spacing w:before="156" w:after="163"/>
      </w:pPr>
      <w:bookmarkStart w:id="123" w:name="_Toc1888100473"/>
      <w:r>
        <w:rPr>
          <w:rFonts w:hint="eastAsia"/>
        </w:rPr>
        <w:t>业务用户预测</w:t>
      </w:r>
      <w:bookmarkEnd w:id="123"/>
    </w:p>
    <w:p>
      <w:pPr>
        <w:pStyle w:val="40"/>
        <w:numPr>
          <w:ilvl w:val="0"/>
          <w:numId w:val="0"/>
        </w:numPr>
        <w:ind w:firstLine="480" w:firstLineChars="200"/>
      </w:pPr>
      <w:r>
        <w:rPr>
          <w:rFonts w:hint="eastAsia"/>
        </w:rPr>
        <w:t>规划人口预测：</w:t>
      </w:r>
    </w:p>
    <w:p>
      <w:pPr>
        <w:pStyle w:val="40"/>
        <w:numPr>
          <w:ilvl w:val="0"/>
          <w:numId w:val="0"/>
        </w:numPr>
        <w:ind w:firstLine="480" w:firstLineChars="200"/>
      </w:pPr>
      <w:r>
        <w:rPr>
          <w:rFonts w:hint="eastAsia"/>
        </w:rPr>
        <w:t>近期（2020年），常住人口规模为</w:t>
      </w:r>
      <w:r>
        <w:t>1.5</w:t>
      </w:r>
      <w:r>
        <w:rPr>
          <w:rFonts w:hint="eastAsia"/>
        </w:rPr>
        <w:t>万人。</w:t>
      </w:r>
    </w:p>
    <w:p>
      <w:pPr>
        <w:pStyle w:val="40"/>
        <w:numPr>
          <w:ilvl w:val="0"/>
          <w:numId w:val="0"/>
        </w:numPr>
        <w:ind w:firstLine="480" w:firstLineChars="200"/>
      </w:pPr>
      <w:r>
        <w:rPr>
          <w:rFonts w:hint="eastAsia"/>
        </w:rPr>
        <w:t>远期（2030年），常住人口规模为</w:t>
      </w:r>
      <w:r>
        <w:t>4.6</w:t>
      </w:r>
      <w:r>
        <w:rPr>
          <w:rFonts w:hint="eastAsia"/>
        </w:rPr>
        <w:t>万人。</w:t>
      </w:r>
    </w:p>
    <w:p>
      <w:pPr>
        <w:ind w:firstLine="480"/>
      </w:pPr>
      <w:r>
        <w:rPr>
          <w:rFonts w:hint="eastAsia"/>
        </w:rPr>
        <w:t>通信业务用户预测：包括移动电话用户、固定宽带用户、企业专线用户共三类用户。</w:t>
      </w:r>
    </w:p>
    <w:p>
      <w:pPr>
        <w:ind w:firstLine="480"/>
        <w:jc w:val="center"/>
      </w:pPr>
      <w:r>
        <w:t>表4.1 通信</w:t>
      </w:r>
      <w:r>
        <w:rPr>
          <w:rFonts w:hint="eastAsia"/>
        </w:rPr>
        <w:t>信业务用户预测表</w:t>
      </w:r>
    </w:p>
    <w:tbl>
      <w:tblPr>
        <w:tblStyle w:val="17"/>
        <w:tblW w:w="0" w:type="auto"/>
        <w:tblInd w:w="0" w:type="dxa"/>
        <w:tblLayout w:type="autofit"/>
        <w:tblCellMar>
          <w:top w:w="0" w:type="dxa"/>
          <w:left w:w="108" w:type="dxa"/>
          <w:bottom w:w="0" w:type="dxa"/>
          <w:right w:w="108" w:type="dxa"/>
        </w:tblCellMar>
      </w:tblPr>
      <w:tblGrid>
        <w:gridCol w:w="1896"/>
        <w:gridCol w:w="3822"/>
        <w:gridCol w:w="636"/>
        <w:gridCol w:w="899"/>
        <w:gridCol w:w="899"/>
      </w:tblGrid>
      <w:tr>
        <w:tblPrEx>
          <w:tblCellMar>
            <w:top w:w="0" w:type="dxa"/>
            <w:left w:w="108" w:type="dxa"/>
            <w:bottom w:w="0" w:type="dxa"/>
            <w:right w:w="108" w:type="dxa"/>
          </w:tblCellMar>
        </w:tblPrEx>
        <w:trPr>
          <w:trHeight w:val="300" w:hRule="atLeast"/>
          <w:tblHeader/>
        </w:trPr>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8"/>
            </w:pPr>
            <w:r>
              <w:rPr>
                <w:rFonts w:hint="eastAsia"/>
              </w:rPr>
              <w:t>类型</w:t>
            </w:r>
          </w:p>
        </w:tc>
        <w:tc>
          <w:tcPr>
            <w:tcW w:w="0" w:type="auto"/>
            <w:tcBorders>
              <w:top w:val="single" w:color="auto" w:sz="4" w:space="0"/>
              <w:left w:val="nil"/>
              <w:bottom w:val="single" w:color="auto" w:sz="4" w:space="0"/>
              <w:right w:val="single" w:color="auto" w:sz="4" w:space="0"/>
            </w:tcBorders>
            <w:shd w:val="clear" w:color="auto" w:fill="auto"/>
            <w:vAlign w:val="center"/>
          </w:tcPr>
          <w:p>
            <w:pPr>
              <w:pStyle w:val="38"/>
            </w:pPr>
            <w:r>
              <w:rPr>
                <w:rFonts w:hint="eastAsia"/>
              </w:rPr>
              <w:t>单位</w:t>
            </w:r>
          </w:p>
        </w:tc>
        <w:tc>
          <w:tcPr>
            <w:tcW w:w="0" w:type="auto"/>
            <w:tcBorders>
              <w:top w:val="single" w:color="auto" w:sz="4" w:space="0"/>
              <w:left w:val="nil"/>
              <w:bottom w:val="single" w:color="auto" w:sz="4" w:space="0"/>
              <w:right w:val="single" w:color="auto" w:sz="4" w:space="0"/>
            </w:tcBorders>
            <w:shd w:val="clear" w:color="auto" w:fill="auto"/>
            <w:vAlign w:val="center"/>
          </w:tcPr>
          <w:p>
            <w:pPr>
              <w:pStyle w:val="38"/>
            </w:pPr>
            <w:r>
              <w:rPr>
                <w:rFonts w:hint="eastAsia"/>
              </w:rPr>
              <w:t>2020</w:t>
            </w:r>
            <w:r>
              <w:rPr>
                <w:rFonts w:hint="eastAsia" w:ascii="华文细黑" w:hAnsi="华文细黑" w:eastAsia="华文细黑"/>
                <w:b/>
                <w:bCs/>
                <w:color w:val="FFFFFF"/>
              </w:rPr>
              <w:t>年</w:t>
            </w:r>
          </w:p>
        </w:tc>
        <w:tc>
          <w:tcPr>
            <w:tcW w:w="0" w:type="auto"/>
            <w:tcBorders>
              <w:top w:val="single" w:color="auto" w:sz="4" w:space="0"/>
              <w:left w:val="nil"/>
              <w:bottom w:val="single" w:color="auto" w:sz="4" w:space="0"/>
              <w:right w:val="single" w:color="auto" w:sz="4" w:space="0"/>
            </w:tcBorders>
            <w:shd w:val="clear" w:color="auto" w:fill="auto"/>
            <w:vAlign w:val="center"/>
          </w:tcPr>
          <w:p>
            <w:pPr>
              <w:pStyle w:val="38"/>
            </w:pPr>
            <w:r>
              <w:rPr>
                <w:rFonts w:hint="eastAsia"/>
              </w:rPr>
              <w:t>2030</w:t>
            </w:r>
            <w:r>
              <w:rPr>
                <w:rFonts w:hint="eastAsia" w:ascii="华文细黑" w:hAnsi="华文细黑" w:eastAsia="华文细黑"/>
                <w:b/>
                <w:bCs/>
                <w:color w:val="FFFFFF"/>
              </w:rPr>
              <w:t>年</w:t>
            </w:r>
          </w:p>
        </w:tc>
      </w:tr>
      <w:tr>
        <w:tblPrEx>
          <w:tblCellMar>
            <w:top w:w="0" w:type="dxa"/>
            <w:left w:w="108" w:type="dxa"/>
            <w:bottom w:w="0" w:type="dxa"/>
            <w:right w:w="108" w:type="dxa"/>
          </w:tblCellMar>
        </w:tblPrEx>
        <w:trPr>
          <w:trHeight w:val="270" w:hRule="atLeast"/>
        </w:trPr>
        <w:tc>
          <w:tcPr>
            <w:tcW w:w="1896" w:type="dxa"/>
            <w:vMerge w:val="restart"/>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个人</w:t>
            </w: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常住人口</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万人</w:t>
            </w:r>
          </w:p>
        </w:tc>
        <w:tc>
          <w:tcPr>
            <w:tcW w:w="0" w:type="auto"/>
            <w:tcBorders>
              <w:top w:val="nil"/>
              <w:left w:val="nil"/>
              <w:bottom w:val="single" w:color="auto" w:sz="4" w:space="0"/>
              <w:right w:val="single" w:color="auto" w:sz="4" w:space="0"/>
            </w:tcBorders>
            <w:shd w:val="clear" w:color="auto" w:fill="auto"/>
            <w:vAlign w:val="center"/>
          </w:tcPr>
          <w:p>
            <w:pPr>
              <w:pStyle w:val="38"/>
            </w:pPr>
            <w:r>
              <w:t>1.5</w:t>
            </w:r>
          </w:p>
        </w:tc>
        <w:tc>
          <w:tcPr>
            <w:tcW w:w="0" w:type="auto"/>
            <w:tcBorders>
              <w:top w:val="nil"/>
              <w:left w:val="nil"/>
              <w:bottom w:val="single" w:color="auto" w:sz="4" w:space="0"/>
              <w:right w:val="single" w:color="auto" w:sz="4" w:space="0"/>
            </w:tcBorders>
            <w:shd w:val="clear" w:color="auto" w:fill="auto"/>
            <w:vAlign w:val="center"/>
          </w:tcPr>
          <w:p>
            <w:pPr>
              <w:pStyle w:val="38"/>
            </w:pPr>
            <w:r>
              <w:t>4.6</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居住人口</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万人</w:t>
            </w:r>
          </w:p>
        </w:tc>
        <w:tc>
          <w:tcPr>
            <w:tcW w:w="0" w:type="auto"/>
            <w:tcBorders>
              <w:top w:val="nil"/>
              <w:left w:val="nil"/>
              <w:bottom w:val="single" w:color="auto" w:sz="4" w:space="0"/>
              <w:right w:val="single" w:color="auto" w:sz="4" w:space="0"/>
            </w:tcBorders>
            <w:shd w:val="clear" w:color="auto" w:fill="auto"/>
            <w:vAlign w:val="center"/>
          </w:tcPr>
          <w:p>
            <w:pPr>
              <w:pStyle w:val="38"/>
            </w:pPr>
            <w:r>
              <w:t>2</w:t>
            </w:r>
          </w:p>
        </w:tc>
        <w:tc>
          <w:tcPr>
            <w:tcW w:w="0" w:type="auto"/>
            <w:tcBorders>
              <w:top w:val="nil"/>
              <w:left w:val="nil"/>
              <w:bottom w:val="single" w:color="auto" w:sz="4" w:space="0"/>
              <w:right w:val="single" w:color="auto" w:sz="4" w:space="0"/>
            </w:tcBorders>
            <w:shd w:val="clear" w:color="auto" w:fill="auto"/>
            <w:vAlign w:val="center"/>
          </w:tcPr>
          <w:p>
            <w:pPr>
              <w:pStyle w:val="38"/>
            </w:pPr>
            <w:r>
              <w:t>5.3</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家庭</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万户</w:t>
            </w:r>
          </w:p>
        </w:tc>
        <w:tc>
          <w:tcPr>
            <w:tcW w:w="0" w:type="auto"/>
            <w:tcBorders>
              <w:top w:val="nil"/>
              <w:left w:val="nil"/>
              <w:bottom w:val="single" w:color="auto" w:sz="4" w:space="0"/>
              <w:right w:val="single" w:color="auto" w:sz="4" w:space="0"/>
            </w:tcBorders>
            <w:shd w:val="clear" w:color="auto" w:fill="auto"/>
            <w:vAlign w:val="center"/>
          </w:tcPr>
          <w:p>
            <w:pPr>
              <w:pStyle w:val="38"/>
            </w:pPr>
            <w:r>
              <w:t>0.7</w:t>
            </w:r>
          </w:p>
        </w:tc>
        <w:tc>
          <w:tcPr>
            <w:tcW w:w="0" w:type="auto"/>
            <w:tcBorders>
              <w:top w:val="nil"/>
              <w:left w:val="nil"/>
              <w:bottom w:val="single" w:color="auto" w:sz="4" w:space="0"/>
              <w:right w:val="single" w:color="auto" w:sz="4" w:space="0"/>
            </w:tcBorders>
            <w:shd w:val="clear" w:color="auto" w:fill="auto"/>
            <w:vAlign w:val="center"/>
          </w:tcPr>
          <w:p>
            <w:pPr>
              <w:pStyle w:val="38"/>
            </w:pPr>
            <w:r>
              <w:t>1.8</w:t>
            </w:r>
          </w:p>
        </w:tc>
      </w:tr>
      <w:tr>
        <w:tblPrEx>
          <w:tblCellMar>
            <w:top w:w="0" w:type="dxa"/>
            <w:left w:w="108" w:type="dxa"/>
            <w:bottom w:w="0" w:type="dxa"/>
            <w:right w:w="108" w:type="dxa"/>
          </w:tblCellMar>
        </w:tblPrEx>
        <w:trPr>
          <w:trHeight w:val="270" w:hRule="atLeast"/>
        </w:trPr>
        <w:tc>
          <w:tcPr>
            <w:tcW w:w="1896" w:type="dxa"/>
            <w:vMerge w:val="restart"/>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企业及商户</w:t>
            </w: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入驻企业</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个</w:t>
            </w:r>
          </w:p>
        </w:tc>
        <w:tc>
          <w:tcPr>
            <w:tcW w:w="0" w:type="auto"/>
            <w:tcBorders>
              <w:top w:val="nil"/>
              <w:left w:val="nil"/>
              <w:bottom w:val="single" w:color="auto" w:sz="4" w:space="0"/>
              <w:right w:val="single" w:color="auto" w:sz="4" w:space="0"/>
            </w:tcBorders>
            <w:shd w:val="clear" w:color="auto" w:fill="auto"/>
            <w:vAlign w:val="center"/>
          </w:tcPr>
          <w:p>
            <w:pPr>
              <w:pStyle w:val="38"/>
            </w:pPr>
            <w:r>
              <w:t>2</w:t>
            </w:r>
            <w:r>
              <w:rPr>
                <w:rFonts w:hint="eastAsia"/>
              </w:rPr>
              <w:t>00</w:t>
            </w:r>
          </w:p>
        </w:tc>
        <w:tc>
          <w:tcPr>
            <w:tcW w:w="0" w:type="auto"/>
            <w:tcBorders>
              <w:top w:val="nil"/>
              <w:left w:val="nil"/>
              <w:bottom w:val="single" w:color="auto" w:sz="4" w:space="0"/>
              <w:right w:val="single" w:color="auto" w:sz="4" w:space="0"/>
            </w:tcBorders>
            <w:shd w:val="clear" w:color="auto" w:fill="auto"/>
            <w:vAlign w:val="center"/>
          </w:tcPr>
          <w:p>
            <w:pPr>
              <w:pStyle w:val="38"/>
            </w:pPr>
            <w:r>
              <w:t>6</w:t>
            </w:r>
            <w:r>
              <w:rPr>
                <w:rFonts w:hint="eastAsia"/>
              </w:rPr>
              <w:t>00</w:t>
            </w:r>
          </w:p>
        </w:tc>
      </w:tr>
      <w:tr>
        <w:tblPrEx>
          <w:tblCellMar>
            <w:top w:w="0" w:type="dxa"/>
            <w:left w:w="108" w:type="dxa"/>
            <w:bottom w:w="0" w:type="dxa"/>
            <w:right w:w="108" w:type="dxa"/>
          </w:tblCellMar>
        </w:tblPrEx>
        <w:trPr>
          <w:trHeight w:val="30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其中大中型企业（规模在</w:t>
            </w:r>
            <w:r>
              <w:rPr>
                <w:rFonts w:ascii="Arial" w:hAnsi="Arial" w:cs="Arial"/>
              </w:rPr>
              <w:t>100</w:t>
            </w:r>
            <w:r>
              <w:rPr>
                <w:rFonts w:hint="eastAsia" w:ascii="华文细黑" w:hAnsi="华文细黑" w:eastAsia="华文细黑"/>
              </w:rPr>
              <w:t>人以上）</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个</w:t>
            </w:r>
          </w:p>
        </w:tc>
        <w:tc>
          <w:tcPr>
            <w:tcW w:w="0" w:type="auto"/>
            <w:tcBorders>
              <w:top w:val="nil"/>
              <w:left w:val="nil"/>
              <w:bottom w:val="single" w:color="auto" w:sz="4" w:space="0"/>
              <w:right w:val="single" w:color="auto" w:sz="4" w:space="0"/>
            </w:tcBorders>
            <w:shd w:val="clear" w:color="auto" w:fill="auto"/>
            <w:vAlign w:val="center"/>
          </w:tcPr>
          <w:p>
            <w:pPr>
              <w:pStyle w:val="38"/>
            </w:pPr>
            <w:r>
              <w:t>5</w:t>
            </w:r>
            <w:r>
              <w:rPr>
                <w:rFonts w:hint="eastAsia"/>
              </w:rPr>
              <w:t>0</w:t>
            </w:r>
          </w:p>
        </w:tc>
        <w:tc>
          <w:tcPr>
            <w:tcW w:w="0" w:type="auto"/>
            <w:tcBorders>
              <w:top w:val="nil"/>
              <w:left w:val="nil"/>
              <w:bottom w:val="single" w:color="auto" w:sz="4" w:space="0"/>
              <w:right w:val="single" w:color="auto" w:sz="4" w:space="0"/>
            </w:tcBorders>
            <w:shd w:val="clear" w:color="auto" w:fill="auto"/>
            <w:vAlign w:val="center"/>
          </w:tcPr>
          <w:p>
            <w:pPr>
              <w:pStyle w:val="38"/>
            </w:pPr>
            <w:r>
              <w:t>2</w:t>
            </w:r>
            <w:r>
              <w:rPr>
                <w:rFonts w:hint="eastAsia"/>
              </w:rPr>
              <w:t>00</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商户数量</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个</w:t>
            </w:r>
          </w:p>
        </w:tc>
        <w:tc>
          <w:tcPr>
            <w:tcW w:w="0" w:type="auto"/>
            <w:tcBorders>
              <w:top w:val="nil"/>
              <w:left w:val="nil"/>
              <w:bottom w:val="single" w:color="auto" w:sz="4" w:space="0"/>
              <w:right w:val="single" w:color="auto" w:sz="4" w:space="0"/>
            </w:tcBorders>
            <w:shd w:val="clear" w:color="auto" w:fill="auto"/>
            <w:vAlign w:val="center"/>
          </w:tcPr>
          <w:p>
            <w:pPr>
              <w:pStyle w:val="38"/>
            </w:pPr>
            <w:r>
              <w:t>2</w:t>
            </w:r>
            <w:r>
              <w:rPr>
                <w:rFonts w:hint="eastAsia"/>
              </w:rPr>
              <w:t>00</w:t>
            </w:r>
          </w:p>
        </w:tc>
        <w:tc>
          <w:tcPr>
            <w:tcW w:w="0" w:type="auto"/>
            <w:tcBorders>
              <w:top w:val="nil"/>
              <w:left w:val="nil"/>
              <w:bottom w:val="single" w:color="auto" w:sz="4" w:space="0"/>
              <w:right w:val="single" w:color="auto" w:sz="4" w:space="0"/>
            </w:tcBorders>
            <w:shd w:val="clear" w:color="auto" w:fill="auto"/>
            <w:vAlign w:val="center"/>
          </w:tcPr>
          <w:p>
            <w:pPr>
              <w:pStyle w:val="38"/>
            </w:pPr>
            <w:r>
              <w:t>600</w:t>
            </w:r>
          </w:p>
        </w:tc>
      </w:tr>
      <w:tr>
        <w:tblPrEx>
          <w:tblCellMar>
            <w:top w:w="0" w:type="dxa"/>
            <w:left w:w="108" w:type="dxa"/>
            <w:bottom w:w="0" w:type="dxa"/>
            <w:right w:w="108" w:type="dxa"/>
          </w:tblCellMar>
        </w:tblPrEx>
        <w:trPr>
          <w:trHeight w:val="270" w:hRule="atLeast"/>
        </w:trPr>
        <w:tc>
          <w:tcPr>
            <w:tcW w:w="1896" w:type="dxa"/>
            <w:vMerge w:val="restart"/>
            <w:tcBorders>
              <w:top w:val="nil"/>
              <w:left w:val="single" w:color="auto" w:sz="4" w:space="0"/>
              <w:right w:val="single" w:color="auto" w:sz="4" w:space="0"/>
            </w:tcBorders>
            <w:shd w:val="clear" w:color="auto" w:fill="auto"/>
            <w:vAlign w:val="center"/>
          </w:tcPr>
          <w:p>
            <w:pPr>
              <w:pStyle w:val="38"/>
            </w:pPr>
            <w:r>
              <w:rPr>
                <w:rFonts w:hint="eastAsia"/>
              </w:rPr>
              <w:t>移动业务</w:t>
            </w: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移动电话普及率</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1</w:t>
            </w:r>
            <w:r>
              <w:t>0</w:t>
            </w:r>
            <w:r>
              <w:rPr>
                <w:rFonts w:hint="eastAsia"/>
              </w:rPr>
              <w:t>0</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1</w:t>
            </w:r>
            <w:r>
              <w:t>2</w:t>
            </w:r>
            <w:r>
              <w:rPr>
                <w:rFonts w:hint="eastAsia"/>
              </w:rPr>
              <w:t>0</w:t>
            </w:r>
          </w:p>
        </w:tc>
      </w:tr>
      <w:tr>
        <w:tblPrEx>
          <w:tblCellMar>
            <w:top w:w="0" w:type="dxa"/>
            <w:left w:w="108" w:type="dxa"/>
            <w:bottom w:w="0" w:type="dxa"/>
            <w:right w:w="108" w:type="dxa"/>
          </w:tblCellMar>
        </w:tblPrEx>
        <w:trPr>
          <w:trHeight w:val="270" w:hRule="atLeast"/>
        </w:trPr>
        <w:tc>
          <w:tcPr>
            <w:tcW w:w="1896" w:type="dxa"/>
            <w:vMerge w:val="continue"/>
            <w:tcBorders>
              <w:left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移动电话用户数</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万户</w:t>
            </w:r>
          </w:p>
        </w:tc>
        <w:tc>
          <w:tcPr>
            <w:tcW w:w="0" w:type="auto"/>
            <w:tcBorders>
              <w:top w:val="nil"/>
              <w:left w:val="nil"/>
              <w:bottom w:val="single" w:color="auto" w:sz="4" w:space="0"/>
              <w:right w:val="single" w:color="auto" w:sz="4" w:space="0"/>
            </w:tcBorders>
            <w:shd w:val="clear" w:color="auto" w:fill="auto"/>
            <w:vAlign w:val="center"/>
          </w:tcPr>
          <w:p>
            <w:pPr>
              <w:pStyle w:val="38"/>
            </w:pPr>
            <w:r>
              <w:t>1.5</w:t>
            </w:r>
          </w:p>
        </w:tc>
        <w:tc>
          <w:tcPr>
            <w:tcW w:w="0" w:type="auto"/>
            <w:tcBorders>
              <w:top w:val="nil"/>
              <w:left w:val="nil"/>
              <w:bottom w:val="single" w:color="auto" w:sz="4" w:space="0"/>
              <w:right w:val="single" w:color="auto" w:sz="4" w:space="0"/>
            </w:tcBorders>
            <w:shd w:val="clear" w:color="auto" w:fill="auto"/>
            <w:vAlign w:val="center"/>
          </w:tcPr>
          <w:p>
            <w:pPr>
              <w:pStyle w:val="38"/>
            </w:pPr>
            <w:r>
              <w:t>5.5</w:t>
            </w:r>
          </w:p>
        </w:tc>
      </w:tr>
      <w:tr>
        <w:tblPrEx>
          <w:tblCellMar>
            <w:top w:w="0" w:type="dxa"/>
            <w:left w:w="108" w:type="dxa"/>
            <w:bottom w:w="0" w:type="dxa"/>
            <w:right w:w="108" w:type="dxa"/>
          </w:tblCellMar>
        </w:tblPrEx>
        <w:trPr>
          <w:trHeight w:val="270" w:hRule="atLeast"/>
        </w:trPr>
        <w:tc>
          <w:tcPr>
            <w:tcW w:w="1896" w:type="dxa"/>
            <w:vMerge w:val="continue"/>
            <w:tcBorders>
              <w:left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5G业务渗透率</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3</w:t>
            </w:r>
            <w:r>
              <w:t>0</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1</w:t>
            </w:r>
            <w:r>
              <w:t>20</w:t>
            </w:r>
          </w:p>
        </w:tc>
      </w:tr>
      <w:tr>
        <w:tblPrEx>
          <w:tblCellMar>
            <w:top w:w="0" w:type="dxa"/>
            <w:left w:w="108" w:type="dxa"/>
            <w:bottom w:w="0" w:type="dxa"/>
            <w:right w:w="108" w:type="dxa"/>
          </w:tblCellMar>
        </w:tblPrEx>
        <w:trPr>
          <w:trHeight w:val="270" w:hRule="atLeast"/>
        </w:trPr>
        <w:tc>
          <w:tcPr>
            <w:tcW w:w="1896" w:type="dxa"/>
            <w:vMerge w:val="continue"/>
            <w:tcBorders>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5G业务用户数</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万户</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0</w:t>
            </w:r>
            <w:r>
              <w:t>.5</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5</w:t>
            </w:r>
            <w:r>
              <w:t>.5</w:t>
            </w:r>
          </w:p>
        </w:tc>
      </w:tr>
      <w:tr>
        <w:tblPrEx>
          <w:tblCellMar>
            <w:top w:w="0" w:type="dxa"/>
            <w:left w:w="108" w:type="dxa"/>
            <w:bottom w:w="0" w:type="dxa"/>
            <w:right w:w="108" w:type="dxa"/>
          </w:tblCellMar>
        </w:tblPrEx>
        <w:trPr>
          <w:trHeight w:val="270" w:hRule="atLeast"/>
        </w:trPr>
        <w:tc>
          <w:tcPr>
            <w:tcW w:w="1896" w:type="dxa"/>
            <w:vMerge w:val="restart"/>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家庭固定宽带业务</w:t>
            </w: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固定宽带家庭普及率</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100</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100</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固定宽带家庭用户数</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万户</w:t>
            </w:r>
          </w:p>
        </w:tc>
        <w:tc>
          <w:tcPr>
            <w:tcW w:w="0" w:type="auto"/>
            <w:tcBorders>
              <w:top w:val="nil"/>
              <w:left w:val="nil"/>
              <w:bottom w:val="single" w:color="auto" w:sz="4" w:space="0"/>
              <w:right w:val="single" w:color="auto" w:sz="4" w:space="0"/>
            </w:tcBorders>
            <w:shd w:val="clear" w:color="auto" w:fill="auto"/>
            <w:vAlign w:val="center"/>
          </w:tcPr>
          <w:p>
            <w:pPr>
              <w:pStyle w:val="38"/>
            </w:pPr>
            <w:r>
              <w:t>0.7</w:t>
            </w:r>
          </w:p>
        </w:tc>
        <w:tc>
          <w:tcPr>
            <w:tcW w:w="0" w:type="auto"/>
            <w:tcBorders>
              <w:top w:val="nil"/>
              <w:left w:val="nil"/>
              <w:bottom w:val="single" w:color="auto" w:sz="4" w:space="0"/>
              <w:right w:val="single" w:color="auto" w:sz="4" w:space="0"/>
            </w:tcBorders>
            <w:shd w:val="clear" w:color="auto" w:fill="auto"/>
            <w:vAlign w:val="center"/>
          </w:tcPr>
          <w:p>
            <w:pPr>
              <w:pStyle w:val="38"/>
            </w:pPr>
            <w:r>
              <w:t>1.8</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固定宽带企业用户数</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户</w:t>
            </w:r>
          </w:p>
        </w:tc>
        <w:tc>
          <w:tcPr>
            <w:tcW w:w="0" w:type="auto"/>
            <w:tcBorders>
              <w:top w:val="nil"/>
              <w:left w:val="nil"/>
              <w:bottom w:val="single" w:color="auto" w:sz="4" w:space="0"/>
              <w:right w:val="single" w:color="auto" w:sz="4" w:space="0"/>
            </w:tcBorders>
            <w:shd w:val="clear" w:color="auto" w:fill="auto"/>
            <w:vAlign w:val="center"/>
          </w:tcPr>
          <w:p>
            <w:pPr>
              <w:pStyle w:val="38"/>
            </w:pPr>
            <w:r>
              <w:t>200</w:t>
            </w:r>
          </w:p>
        </w:tc>
        <w:tc>
          <w:tcPr>
            <w:tcW w:w="0" w:type="auto"/>
            <w:tcBorders>
              <w:top w:val="nil"/>
              <w:left w:val="nil"/>
              <w:bottom w:val="single" w:color="auto" w:sz="4" w:space="0"/>
              <w:right w:val="single" w:color="auto" w:sz="4" w:space="0"/>
            </w:tcBorders>
            <w:shd w:val="clear" w:color="auto" w:fill="auto"/>
            <w:vAlign w:val="center"/>
          </w:tcPr>
          <w:p>
            <w:pPr>
              <w:pStyle w:val="38"/>
            </w:pPr>
            <w:r>
              <w:t>600</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固定宽带商户用户数</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户</w:t>
            </w:r>
          </w:p>
        </w:tc>
        <w:tc>
          <w:tcPr>
            <w:tcW w:w="0" w:type="auto"/>
            <w:tcBorders>
              <w:top w:val="nil"/>
              <w:left w:val="nil"/>
              <w:bottom w:val="single" w:color="auto" w:sz="4" w:space="0"/>
              <w:right w:val="single" w:color="auto" w:sz="4" w:space="0"/>
            </w:tcBorders>
            <w:shd w:val="clear" w:color="auto" w:fill="auto"/>
            <w:vAlign w:val="center"/>
          </w:tcPr>
          <w:p>
            <w:pPr>
              <w:pStyle w:val="38"/>
            </w:pPr>
            <w:r>
              <w:t>200</w:t>
            </w:r>
          </w:p>
        </w:tc>
        <w:tc>
          <w:tcPr>
            <w:tcW w:w="0" w:type="auto"/>
            <w:tcBorders>
              <w:top w:val="nil"/>
              <w:left w:val="nil"/>
              <w:bottom w:val="single" w:color="auto" w:sz="4" w:space="0"/>
              <w:right w:val="single" w:color="auto" w:sz="4" w:space="0"/>
            </w:tcBorders>
            <w:shd w:val="clear" w:color="auto" w:fill="auto"/>
            <w:vAlign w:val="center"/>
          </w:tcPr>
          <w:p>
            <w:pPr>
              <w:pStyle w:val="38"/>
            </w:pPr>
            <w:r>
              <w:t>600</w:t>
            </w:r>
          </w:p>
        </w:tc>
      </w:tr>
      <w:tr>
        <w:tblPrEx>
          <w:tblCellMar>
            <w:top w:w="0" w:type="dxa"/>
            <w:left w:w="108" w:type="dxa"/>
            <w:bottom w:w="0" w:type="dxa"/>
            <w:right w:w="108" w:type="dxa"/>
          </w:tblCellMar>
        </w:tblPrEx>
        <w:trPr>
          <w:trHeight w:val="270" w:hRule="atLeast"/>
        </w:trPr>
        <w:tc>
          <w:tcPr>
            <w:tcW w:w="1896" w:type="dxa"/>
            <w:vMerge w:val="continue"/>
            <w:tcBorders>
              <w:top w:val="nil"/>
              <w:left w:val="single" w:color="auto" w:sz="4" w:space="0"/>
              <w:bottom w:val="single" w:color="auto" w:sz="4" w:space="0"/>
              <w:right w:val="single" w:color="auto" w:sz="4" w:space="0"/>
            </w:tcBorders>
            <w:vAlign w:val="center"/>
          </w:tcPr>
          <w:p>
            <w:pPr>
              <w:pStyle w:val="38"/>
            </w:pP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固定宽带用户</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万户</w:t>
            </w:r>
          </w:p>
        </w:tc>
        <w:tc>
          <w:tcPr>
            <w:tcW w:w="0" w:type="auto"/>
            <w:tcBorders>
              <w:top w:val="nil"/>
              <w:left w:val="nil"/>
              <w:bottom w:val="single" w:color="auto" w:sz="4" w:space="0"/>
              <w:right w:val="single" w:color="auto" w:sz="4" w:space="0"/>
            </w:tcBorders>
            <w:shd w:val="clear" w:color="auto" w:fill="auto"/>
            <w:vAlign w:val="center"/>
          </w:tcPr>
          <w:p>
            <w:pPr>
              <w:pStyle w:val="38"/>
            </w:pPr>
            <w:r>
              <w:t>0.75</w:t>
            </w:r>
          </w:p>
        </w:tc>
        <w:tc>
          <w:tcPr>
            <w:tcW w:w="0" w:type="auto"/>
            <w:tcBorders>
              <w:top w:val="nil"/>
              <w:left w:val="nil"/>
              <w:bottom w:val="single" w:color="auto" w:sz="4" w:space="0"/>
              <w:right w:val="single" w:color="auto" w:sz="4" w:space="0"/>
            </w:tcBorders>
            <w:shd w:val="clear" w:color="auto" w:fill="auto"/>
            <w:vAlign w:val="center"/>
          </w:tcPr>
          <w:p>
            <w:pPr>
              <w:pStyle w:val="38"/>
            </w:pPr>
            <w:r>
              <w:t>2.0</w:t>
            </w:r>
          </w:p>
        </w:tc>
      </w:tr>
      <w:tr>
        <w:tblPrEx>
          <w:tblCellMar>
            <w:top w:w="0" w:type="dxa"/>
            <w:left w:w="108" w:type="dxa"/>
            <w:bottom w:w="0" w:type="dxa"/>
            <w:right w:w="108" w:type="dxa"/>
          </w:tblCellMar>
        </w:tblPrEx>
        <w:trPr>
          <w:trHeight w:val="270" w:hRule="atLeast"/>
        </w:trPr>
        <w:tc>
          <w:tcPr>
            <w:tcW w:w="1896" w:type="dxa"/>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企业专线业务</w:t>
            </w:r>
          </w:p>
        </w:tc>
        <w:tc>
          <w:tcPr>
            <w:tcW w:w="3822" w:type="dxa"/>
            <w:tcBorders>
              <w:top w:val="nil"/>
              <w:left w:val="nil"/>
              <w:bottom w:val="single" w:color="auto" w:sz="4" w:space="0"/>
              <w:right w:val="single" w:color="auto" w:sz="4" w:space="0"/>
            </w:tcBorders>
            <w:shd w:val="clear" w:color="auto" w:fill="auto"/>
            <w:vAlign w:val="center"/>
          </w:tcPr>
          <w:p>
            <w:pPr>
              <w:pStyle w:val="38"/>
            </w:pPr>
            <w:r>
              <w:rPr>
                <w:rFonts w:hint="eastAsia"/>
              </w:rPr>
              <w:t>企业专线数量</w:t>
            </w:r>
          </w:p>
        </w:tc>
        <w:tc>
          <w:tcPr>
            <w:tcW w:w="0" w:type="auto"/>
            <w:tcBorders>
              <w:top w:val="nil"/>
              <w:left w:val="nil"/>
              <w:bottom w:val="single" w:color="auto" w:sz="4" w:space="0"/>
              <w:right w:val="single" w:color="auto" w:sz="4" w:space="0"/>
            </w:tcBorders>
            <w:shd w:val="clear" w:color="auto" w:fill="auto"/>
            <w:vAlign w:val="center"/>
          </w:tcPr>
          <w:p>
            <w:pPr>
              <w:pStyle w:val="38"/>
            </w:pPr>
            <w:r>
              <w:rPr>
                <w:rFonts w:hint="eastAsia"/>
              </w:rPr>
              <w:t>条</w:t>
            </w:r>
          </w:p>
        </w:tc>
        <w:tc>
          <w:tcPr>
            <w:tcW w:w="0" w:type="auto"/>
            <w:tcBorders>
              <w:top w:val="nil"/>
              <w:left w:val="nil"/>
              <w:bottom w:val="single" w:color="auto" w:sz="4" w:space="0"/>
              <w:right w:val="single" w:color="auto" w:sz="4" w:space="0"/>
            </w:tcBorders>
            <w:shd w:val="clear" w:color="auto" w:fill="auto"/>
            <w:vAlign w:val="center"/>
          </w:tcPr>
          <w:p>
            <w:pPr>
              <w:pStyle w:val="38"/>
            </w:pPr>
            <w:r>
              <w:t>100</w:t>
            </w:r>
          </w:p>
        </w:tc>
        <w:tc>
          <w:tcPr>
            <w:tcW w:w="0" w:type="auto"/>
            <w:tcBorders>
              <w:top w:val="nil"/>
              <w:left w:val="nil"/>
              <w:bottom w:val="single" w:color="auto" w:sz="4" w:space="0"/>
              <w:right w:val="single" w:color="auto" w:sz="4" w:space="0"/>
            </w:tcBorders>
            <w:shd w:val="clear" w:color="auto" w:fill="auto"/>
            <w:vAlign w:val="center"/>
          </w:tcPr>
          <w:p>
            <w:pPr>
              <w:pStyle w:val="38"/>
            </w:pPr>
            <w:r>
              <w:t>3</w:t>
            </w:r>
            <w:r>
              <w:rPr>
                <w:rFonts w:hint="eastAsia"/>
              </w:rPr>
              <w:t>00</w:t>
            </w:r>
          </w:p>
        </w:tc>
      </w:tr>
    </w:tbl>
    <w:p>
      <w:pPr>
        <w:ind w:firstLine="480"/>
      </w:pPr>
    </w:p>
    <w:p>
      <w:pPr>
        <w:pStyle w:val="3"/>
        <w:numPr>
          <w:ilvl w:val="1"/>
          <w:numId w:val="4"/>
        </w:numPr>
        <w:spacing w:before="156" w:after="163"/>
      </w:pPr>
      <w:bookmarkStart w:id="124" w:name="_Toc582504799"/>
      <w:r>
        <w:rPr>
          <w:rFonts w:hint="eastAsia"/>
        </w:rPr>
        <w:t>业务流量预测</w:t>
      </w:r>
      <w:bookmarkEnd w:id="124"/>
    </w:p>
    <w:p>
      <w:pPr>
        <w:ind w:firstLine="480"/>
      </w:pPr>
      <w:r>
        <w:rPr>
          <w:rFonts w:hint="eastAsia"/>
        </w:rPr>
        <w:t>通信业务流量预测见下表：</w:t>
      </w:r>
    </w:p>
    <w:p>
      <w:pPr>
        <w:ind w:firstLine="480"/>
        <w:jc w:val="center"/>
      </w:pPr>
      <w:r>
        <w:rPr>
          <w:rFonts w:hint="eastAsia"/>
        </w:rPr>
        <w:t>表4</w:t>
      </w:r>
      <w:r>
        <w:t>.2</w:t>
      </w:r>
      <w:r>
        <w:rPr>
          <w:rFonts w:hint="eastAsia"/>
        </w:rPr>
        <w:t>通信业务流量预测表</w:t>
      </w:r>
    </w:p>
    <w:tbl>
      <w:tblPr>
        <w:tblStyle w:val="17"/>
        <w:tblW w:w="9322" w:type="dxa"/>
        <w:tblInd w:w="0" w:type="dxa"/>
        <w:tblLayout w:type="fixed"/>
        <w:tblCellMar>
          <w:top w:w="0" w:type="dxa"/>
          <w:left w:w="108" w:type="dxa"/>
          <w:bottom w:w="0" w:type="dxa"/>
          <w:right w:w="108" w:type="dxa"/>
        </w:tblCellMar>
      </w:tblPr>
      <w:tblGrid>
        <w:gridCol w:w="2282"/>
        <w:gridCol w:w="3583"/>
        <w:gridCol w:w="1490"/>
        <w:gridCol w:w="984"/>
        <w:gridCol w:w="983"/>
      </w:tblGrid>
      <w:tr>
        <w:tblPrEx>
          <w:tblCellMar>
            <w:top w:w="0" w:type="dxa"/>
            <w:left w:w="108" w:type="dxa"/>
            <w:bottom w:w="0" w:type="dxa"/>
            <w:right w:w="108" w:type="dxa"/>
          </w:tblCellMar>
        </w:tblPrEx>
        <w:trPr>
          <w:trHeight w:val="285" w:hRule="atLeast"/>
        </w:trPr>
        <w:tc>
          <w:tcPr>
            <w:tcW w:w="58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8"/>
            </w:pPr>
            <w:r>
              <w:rPr>
                <w:rFonts w:hint="eastAsia"/>
              </w:rPr>
              <w:t>类型</w:t>
            </w:r>
          </w:p>
        </w:tc>
        <w:tc>
          <w:tcPr>
            <w:tcW w:w="1490" w:type="dxa"/>
            <w:tcBorders>
              <w:top w:val="single" w:color="auto" w:sz="4" w:space="0"/>
              <w:left w:val="nil"/>
              <w:bottom w:val="single" w:color="auto" w:sz="4" w:space="0"/>
              <w:right w:val="single" w:color="auto" w:sz="4" w:space="0"/>
            </w:tcBorders>
            <w:shd w:val="clear" w:color="auto" w:fill="auto"/>
            <w:vAlign w:val="center"/>
          </w:tcPr>
          <w:p>
            <w:pPr>
              <w:pStyle w:val="38"/>
            </w:pPr>
            <w:r>
              <w:rPr>
                <w:rFonts w:hint="eastAsia"/>
              </w:rPr>
              <w:t>单位</w:t>
            </w:r>
          </w:p>
        </w:tc>
        <w:tc>
          <w:tcPr>
            <w:tcW w:w="984" w:type="dxa"/>
            <w:tcBorders>
              <w:top w:val="single" w:color="auto" w:sz="4" w:space="0"/>
              <w:left w:val="nil"/>
              <w:bottom w:val="single" w:color="auto" w:sz="4" w:space="0"/>
              <w:right w:val="single" w:color="auto" w:sz="4" w:space="0"/>
            </w:tcBorders>
            <w:shd w:val="clear" w:color="auto" w:fill="auto"/>
            <w:vAlign w:val="center"/>
          </w:tcPr>
          <w:p>
            <w:pPr>
              <w:pStyle w:val="38"/>
            </w:pPr>
            <w:r>
              <w:rPr>
                <w:rFonts w:hint="eastAsia"/>
              </w:rPr>
              <w:t>2020</w:t>
            </w:r>
          </w:p>
        </w:tc>
        <w:tc>
          <w:tcPr>
            <w:tcW w:w="983" w:type="dxa"/>
            <w:tcBorders>
              <w:top w:val="single" w:color="auto" w:sz="4" w:space="0"/>
              <w:left w:val="nil"/>
              <w:bottom w:val="single" w:color="auto" w:sz="4" w:space="0"/>
              <w:right w:val="single" w:color="auto" w:sz="4" w:space="0"/>
            </w:tcBorders>
            <w:shd w:val="clear" w:color="auto" w:fill="auto"/>
            <w:vAlign w:val="center"/>
          </w:tcPr>
          <w:p>
            <w:pPr>
              <w:pStyle w:val="38"/>
            </w:pPr>
            <w:r>
              <w:rPr>
                <w:rFonts w:hint="eastAsia"/>
              </w:rPr>
              <w:t>2030</w:t>
            </w:r>
          </w:p>
        </w:tc>
      </w:tr>
      <w:tr>
        <w:tblPrEx>
          <w:tblCellMar>
            <w:top w:w="0" w:type="dxa"/>
            <w:left w:w="108" w:type="dxa"/>
            <w:bottom w:w="0" w:type="dxa"/>
            <w:right w:w="108" w:type="dxa"/>
          </w:tblCellMar>
        </w:tblPrEx>
        <w:trPr>
          <w:trHeight w:val="270" w:hRule="atLeast"/>
        </w:trPr>
        <w:tc>
          <w:tcPr>
            <w:tcW w:w="2282" w:type="dxa"/>
            <w:vMerge w:val="restart"/>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固定宽带业务</w:t>
            </w: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固定宽带用户</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万户</w:t>
            </w:r>
          </w:p>
        </w:tc>
        <w:tc>
          <w:tcPr>
            <w:tcW w:w="984" w:type="dxa"/>
            <w:tcBorders>
              <w:top w:val="nil"/>
              <w:left w:val="nil"/>
              <w:bottom w:val="single" w:color="auto" w:sz="4" w:space="0"/>
              <w:right w:val="single" w:color="auto" w:sz="4" w:space="0"/>
            </w:tcBorders>
            <w:shd w:val="clear" w:color="auto" w:fill="auto"/>
            <w:vAlign w:val="center"/>
          </w:tcPr>
          <w:p>
            <w:pPr>
              <w:pStyle w:val="38"/>
            </w:pPr>
            <w:r>
              <w:t>0.75</w:t>
            </w:r>
          </w:p>
        </w:tc>
        <w:tc>
          <w:tcPr>
            <w:tcW w:w="983" w:type="dxa"/>
            <w:tcBorders>
              <w:top w:val="nil"/>
              <w:left w:val="nil"/>
              <w:bottom w:val="single" w:color="auto" w:sz="4" w:space="0"/>
              <w:right w:val="single" w:color="auto" w:sz="4" w:space="0"/>
            </w:tcBorders>
            <w:shd w:val="clear" w:color="auto" w:fill="auto"/>
            <w:vAlign w:val="center"/>
          </w:tcPr>
          <w:p>
            <w:pPr>
              <w:pStyle w:val="38"/>
            </w:pPr>
            <w:r>
              <w:t>2</w:t>
            </w:r>
          </w:p>
        </w:tc>
      </w:tr>
      <w:tr>
        <w:tblPrEx>
          <w:tblCellMar>
            <w:top w:w="0" w:type="dxa"/>
            <w:left w:w="108" w:type="dxa"/>
            <w:bottom w:w="0" w:type="dxa"/>
            <w:right w:w="108" w:type="dxa"/>
          </w:tblCellMar>
        </w:tblPrEx>
        <w:trPr>
          <w:trHeight w:val="285"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固定宽带用户平均带宽</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Mbps/</w:t>
            </w:r>
            <w:r>
              <w:rPr>
                <w:rFonts w:hint="eastAsia" w:ascii="华文细黑" w:hAnsi="华文细黑" w:eastAsia="华文细黑"/>
              </w:rPr>
              <w:t>户</w:t>
            </w:r>
          </w:p>
        </w:tc>
        <w:tc>
          <w:tcPr>
            <w:tcW w:w="984" w:type="dxa"/>
            <w:tcBorders>
              <w:top w:val="nil"/>
              <w:left w:val="nil"/>
              <w:bottom w:val="single" w:color="auto" w:sz="4" w:space="0"/>
              <w:right w:val="single" w:color="auto" w:sz="4" w:space="0"/>
            </w:tcBorders>
            <w:shd w:val="clear" w:color="auto" w:fill="auto"/>
            <w:vAlign w:val="center"/>
          </w:tcPr>
          <w:p>
            <w:pPr>
              <w:pStyle w:val="38"/>
            </w:pPr>
            <w:r>
              <w:t>200</w:t>
            </w:r>
          </w:p>
        </w:tc>
        <w:tc>
          <w:tcPr>
            <w:tcW w:w="983" w:type="dxa"/>
            <w:tcBorders>
              <w:top w:val="nil"/>
              <w:left w:val="nil"/>
              <w:bottom w:val="single" w:color="auto" w:sz="4" w:space="0"/>
              <w:right w:val="single" w:color="auto" w:sz="4" w:space="0"/>
            </w:tcBorders>
            <w:shd w:val="clear" w:color="auto" w:fill="auto"/>
            <w:vAlign w:val="center"/>
          </w:tcPr>
          <w:p>
            <w:pPr>
              <w:pStyle w:val="38"/>
            </w:pPr>
            <w:r>
              <w:t>500</w:t>
            </w:r>
          </w:p>
        </w:tc>
      </w:tr>
      <w:tr>
        <w:tblPrEx>
          <w:tblCellMar>
            <w:top w:w="0" w:type="dxa"/>
            <w:left w:w="108" w:type="dxa"/>
            <w:bottom w:w="0" w:type="dxa"/>
            <w:right w:w="108" w:type="dxa"/>
          </w:tblCellMar>
        </w:tblPrEx>
        <w:trPr>
          <w:trHeight w:val="270"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带宽平均利用率</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w:t>
            </w:r>
          </w:p>
        </w:tc>
        <w:tc>
          <w:tcPr>
            <w:tcW w:w="984" w:type="dxa"/>
            <w:tcBorders>
              <w:top w:val="nil"/>
              <w:left w:val="nil"/>
              <w:bottom w:val="single" w:color="auto" w:sz="4" w:space="0"/>
              <w:right w:val="single" w:color="auto" w:sz="4" w:space="0"/>
            </w:tcBorders>
            <w:shd w:val="clear" w:color="auto" w:fill="auto"/>
            <w:vAlign w:val="center"/>
          </w:tcPr>
          <w:p>
            <w:pPr>
              <w:pStyle w:val="38"/>
            </w:pPr>
            <w:r>
              <w:t>10</w:t>
            </w:r>
          </w:p>
        </w:tc>
        <w:tc>
          <w:tcPr>
            <w:tcW w:w="983" w:type="dxa"/>
            <w:tcBorders>
              <w:top w:val="nil"/>
              <w:left w:val="nil"/>
              <w:bottom w:val="single" w:color="auto" w:sz="4" w:space="0"/>
              <w:right w:val="single" w:color="auto" w:sz="4" w:space="0"/>
            </w:tcBorders>
            <w:shd w:val="clear" w:color="auto" w:fill="auto"/>
            <w:vAlign w:val="center"/>
          </w:tcPr>
          <w:p>
            <w:pPr>
              <w:pStyle w:val="38"/>
            </w:pPr>
            <w:r>
              <w:t>20</w:t>
            </w:r>
          </w:p>
        </w:tc>
      </w:tr>
      <w:tr>
        <w:tblPrEx>
          <w:tblCellMar>
            <w:top w:w="0" w:type="dxa"/>
            <w:left w:w="108" w:type="dxa"/>
            <w:bottom w:w="0" w:type="dxa"/>
            <w:right w:w="108" w:type="dxa"/>
          </w:tblCellMar>
        </w:tblPrEx>
        <w:trPr>
          <w:trHeight w:val="270"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峰值用户系数</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w:t>
            </w:r>
          </w:p>
        </w:tc>
        <w:tc>
          <w:tcPr>
            <w:tcW w:w="984" w:type="dxa"/>
            <w:tcBorders>
              <w:top w:val="nil"/>
              <w:left w:val="nil"/>
              <w:bottom w:val="single" w:color="auto" w:sz="4" w:space="0"/>
              <w:right w:val="single" w:color="auto" w:sz="4" w:space="0"/>
            </w:tcBorders>
            <w:shd w:val="clear" w:color="auto" w:fill="auto"/>
            <w:vAlign w:val="center"/>
          </w:tcPr>
          <w:p>
            <w:pPr>
              <w:pStyle w:val="38"/>
            </w:pPr>
            <w:r>
              <w:t>50</w:t>
            </w:r>
          </w:p>
        </w:tc>
        <w:tc>
          <w:tcPr>
            <w:tcW w:w="983" w:type="dxa"/>
            <w:tcBorders>
              <w:top w:val="nil"/>
              <w:left w:val="nil"/>
              <w:bottom w:val="single" w:color="auto" w:sz="4" w:space="0"/>
              <w:right w:val="single" w:color="auto" w:sz="4" w:space="0"/>
            </w:tcBorders>
            <w:shd w:val="clear" w:color="auto" w:fill="auto"/>
            <w:vAlign w:val="center"/>
          </w:tcPr>
          <w:p>
            <w:pPr>
              <w:pStyle w:val="38"/>
            </w:pPr>
            <w:r>
              <w:t>50</w:t>
            </w:r>
          </w:p>
        </w:tc>
      </w:tr>
      <w:tr>
        <w:tblPrEx>
          <w:tblCellMar>
            <w:top w:w="0" w:type="dxa"/>
            <w:left w:w="108" w:type="dxa"/>
            <w:bottom w:w="0" w:type="dxa"/>
            <w:right w:w="108" w:type="dxa"/>
          </w:tblCellMar>
        </w:tblPrEx>
        <w:trPr>
          <w:trHeight w:val="270"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固定宽带流量</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Gbps</w:t>
            </w:r>
          </w:p>
        </w:tc>
        <w:tc>
          <w:tcPr>
            <w:tcW w:w="984" w:type="dxa"/>
            <w:tcBorders>
              <w:top w:val="nil"/>
              <w:left w:val="nil"/>
              <w:bottom w:val="single" w:color="auto" w:sz="4" w:space="0"/>
              <w:right w:val="single" w:color="auto" w:sz="4" w:space="0"/>
            </w:tcBorders>
            <w:shd w:val="clear" w:color="auto" w:fill="auto"/>
            <w:vAlign w:val="center"/>
          </w:tcPr>
          <w:p>
            <w:pPr>
              <w:pStyle w:val="38"/>
            </w:pPr>
            <w:r>
              <w:t>75</w:t>
            </w:r>
          </w:p>
        </w:tc>
        <w:tc>
          <w:tcPr>
            <w:tcW w:w="983" w:type="dxa"/>
            <w:tcBorders>
              <w:top w:val="nil"/>
              <w:left w:val="nil"/>
              <w:bottom w:val="single" w:color="auto" w:sz="4" w:space="0"/>
              <w:right w:val="single" w:color="auto" w:sz="4" w:space="0"/>
            </w:tcBorders>
            <w:shd w:val="clear" w:color="auto" w:fill="auto"/>
            <w:vAlign w:val="center"/>
          </w:tcPr>
          <w:p>
            <w:pPr>
              <w:pStyle w:val="38"/>
            </w:pPr>
            <w:r>
              <w:t>500</w:t>
            </w:r>
          </w:p>
        </w:tc>
      </w:tr>
      <w:tr>
        <w:tblPrEx>
          <w:tblCellMar>
            <w:top w:w="0" w:type="dxa"/>
            <w:left w:w="108" w:type="dxa"/>
            <w:bottom w:w="0" w:type="dxa"/>
            <w:right w:w="108" w:type="dxa"/>
          </w:tblCellMar>
        </w:tblPrEx>
        <w:trPr>
          <w:trHeight w:val="270" w:hRule="atLeast"/>
        </w:trPr>
        <w:tc>
          <w:tcPr>
            <w:tcW w:w="2282" w:type="dxa"/>
            <w:vMerge w:val="restart"/>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集团专线业务</w:t>
            </w: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企业专线数量</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条</w:t>
            </w:r>
          </w:p>
        </w:tc>
        <w:tc>
          <w:tcPr>
            <w:tcW w:w="984" w:type="dxa"/>
            <w:tcBorders>
              <w:top w:val="nil"/>
              <w:left w:val="nil"/>
              <w:bottom w:val="single" w:color="auto" w:sz="4" w:space="0"/>
              <w:right w:val="single" w:color="auto" w:sz="4" w:space="0"/>
            </w:tcBorders>
            <w:shd w:val="clear" w:color="auto" w:fill="auto"/>
            <w:vAlign w:val="center"/>
          </w:tcPr>
          <w:p>
            <w:pPr>
              <w:pStyle w:val="38"/>
            </w:pPr>
            <w:r>
              <w:t>100</w:t>
            </w:r>
          </w:p>
        </w:tc>
        <w:tc>
          <w:tcPr>
            <w:tcW w:w="983" w:type="dxa"/>
            <w:tcBorders>
              <w:top w:val="nil"/>
              <w:left w:val="nil"/>
              <w:bottom w:val="single" w:color="auto" w:sz="4" w:space="0"/>
              <w:right w:val="single" w:color="auto" w:sz="4" w:space="0"/>
            </w:tcBorders>
            <w:shd w:val="clear" w:color="auto" w:fill="auto"/>
            <w:vAlign w:val="center"/>
          </w:tcPr>
          <w:p>
            <w:pPr>
              <w:pStyle w:val="38"/>
            </w:pPr>
            <w:r>
              <w:t>300</w:t>
            </w:r>
          </w:p>
        </w:tc>
      </w:tr>
      <w:tr>
        <w:tblPrEx>
          <w:tblCellMar>
            <w:top w:w="0" w:type="dxa"/>
            <w:left w:w="108" w:type="dxa"/>
            <w:bottom w:w="0" w:type="dxa"/>
            <w:right w:w="108" w:type="dxa"/>
          </w:tblCellMar>
        </w:tblPrEx>
        <w:trPr>
          <w:trHeight w:val="285"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企业专线平均带宽</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Mbps/</w:t>
            </w:r>
            <w:r>
              <w:rPr>
                <w:rFonts w:hint="eastAsia" w:ascii="华文细黑" w:hAnsi="华文细黑" w:eastAsia="华文细黑"/>
              </w:rPr>
              <w:t>条</w:t>
            </w:r>
          </w:p>
        </w:tc>
        <w:tc>
          <w:tcPr>
            <w:tcW w:w="984" w:type="dxa"/>
            <w:tcBorders>
              <w:top w:val="nil"/>
              <w:left w:val="nil"/>
              <w:bottom w:val="single" w:color="auto" w:sz="4" w:space="0"/>
              <w:right w:val="single" w:color="auto" w:sz="4" w:space="0"/>
            </w:tcBorders>
            <w:shd w:val="clear" w:color="auto" w:fill="auto"/>
            <w:vAlign w:val="center"/>
          </w:tcPr>
          <w:p>
            <w:pPr>
              <w:pStyle w:val="38"/>
            </w:pPr>
            <w:r>
              <w:t>1000</w:t>
            </w:r>
          </w:p>
        </w:tc>
        <w:tc>
          <w:tcPr>
            <w:tcW w:w="983" w:type="dxa"/>
            <w:tcBorders>
              <w:top w:val="nil"/>
              <w:left w:val="nil"/>
              <w:bottom w:val="single" w:color="auto" w:sz="4" w:space="0"/>
              <w:right w:val="single" w:color="auto" w:sz="4" w:space="0"/>
            </w:tcBorders>
            <w:shd w:val="clear" w:color="auto" w:fill="auto"/>
            <w:vAlign w:val="center"/>
          </w:tcPr>
          <w:p>
            <w:pPr>
              <w:pStyle w:val="38"/>
            </w:pPr>
            <w:r>
              <w:t>1000</w:t>
            </w:r>
          </w:p>
        </w:tc>
      </w:tr>
      <w:tr>
        <w:tblPrEx>
          <w:tblCellMar>
            <w:top w:w="0" w:type="dxa"/>
            <w:left w:w="108" w:type="dxa"/>
            <w:bottom w:w="0" w:type="dxa"/>
            <w:right w:w="108" w:type="dxa"/>
          </w:tblCellMar>
        </w:tblPrEx>
        <w:trPr>
          <w:trHeight w:val="270"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带宽平均利用率</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w:t>
            </w:r>
          </w:p>
        </w:tc>
        <w:tc>
          <w:tcPr>
            <w:tcW w:w="984" w:type="dxa"/>
            <w:tcBorders>
              <w:top w:val="nil"/>
              <w:left w:val="nil"/>
              <w:bottom w:val="single" w:color="auto" w:sz="4" w:space="0"/>
              <w:right w:val="single" w:color="auto" w:sz="4" w:space="0"/>
            </w:tcBorders>
            <w:shd w:val="clear" w:color="auto" w:fill="auto"/>
            <w:vAlign w:val="center"/>
          </w:tcPr>
          <w:p>
            <w:pPr>
              <w:pStyle w:val="38"/>
            </w:pPr>
            <w:r>
              <w:t>50</w:t>
            </w:r>
          </w:p>
        </w:tc>
        <w:tc>
          <w:tcPr>
            <w:tcW w:w="983" w:type="dxa"/>
            <w:tcBorders>
              <w:top w:val="nil"/>
              <w:left w:val="nil"/>
              <w:bottom w:val="single" w:color="auto" w:sz="4" w:space="0"/>
              <w:right w:val="single" w:color="auto" w:sz="4" w:space="0"/>
            </w:tcBorders>
            <w:shd w:val="clear" w:color="auto" w:fill="auto"/>
            <w:vAlign w:val="center"/>
          </w:tcPr>
          <w:p>
            <w:pPr>
              <w:pStyle w:val="38"/>
            </w:pPr>
            <w:r>
              <w:t>80</w:t>
            </w:r>
          </w:p>
        </w:tc>
      </w:tr>
      <w:tr>
        <w:tblPrEx>
          <w:tblCellMar>
            <w:top w:w="0" w:type="dxa"/>
            <w:left w:w="108" w:type="dxa"/>
            <w:bottom w:w="0" w:type="dxa"/>
            <w:right w:w="108" w:type="dxa"/>
          </w:tblCellMar>
        </w:tblPrEx>
        <w:trPr>
          <w:trHeight w:val="270" w:hRule="atLeast"/>
        </w:trPr>
        <w:tc>
          <w:tcPr>
            <w:tcW w:w="2282" w:type="dxa"/>
            <w:vMerge w:val="continue"/>
            <w:tcBorders>
              <w:top w:val="nil"/>
              <w:left w:val="single" w:color="auto" w:sz="4" w:space="0"/>
              <w:bottom w:val="single" w:color="auto" w:sz="4" w:space="0"/>
              <w:right w:val="single" w:color="auto" w:sz="4" w:space="0"/>
            </w:tcBorders>
            <w:vAlign w:val="center"/>
          </w:tcPr>
          <w:p>
            <w:pPr>
              <w:pStyle w:val="38"/>
            </w:pPr>
          </w:p>
        </w:tc>
        <w:tc>
          <w:tcPr>
            <w:tcW w:w="3583" w:type="dxa"/>
            <w:tcBorders>
              <w:top w:val="nil"/>
              <w:left w:val="nil"/>
              <w:bottom w:val="single" w:color="auto" w:sz="4" w:space="0"/>
              <w:right w:val="single" w:color="auto" w:sz="4" w:space="0"/>
            </w:tcBorders>
            <w:shd w:val="clear" w:color="auto" w:fill="auto"/>
            <w:vAlign w:val="center"/>
          </w:tcPr>
          <w:p>
            <w:pPr>
              <w:pStyle w:val="38"/>
            </w:pPr>
            <w:r>
              <w:rPr>
                <w:rFonts w:hint="eastAsia"/>
              </w:rPr>
              <w:t>企业专线流量</w:t>
            </w: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Gbps</w:t>
            </w:r>
          </w:p>
        </w:tc>
        <w:tc>
          <w:tcPr>
            <w:tcW w:w="984" w:type="dxa"/>
            <w:tcBorders>
              <w:top w:val="nil"/>
              <w:left w:val="nil"/>
              <w:bottom w:val="single" w:color="auto" w:sz="4" w:space="0"/>
              <w:right w:val="single" w:color="auto" w:sz="4" w:space="0"/>
            </w:tcBorders>
            <w:shd w:val="clear" w:color="auto" w:fill="auto"/>
            <w:vAlign w:val="center"/>
          </w:tcPr>
          <w:p>
            <w:pPr>
              <w:pStyle w:val="38"/>
            </w:pPr>
            <w:r>
              <w:t>50</w:t>
            </w:r>
          </w:p>
        </w:tc>
        <w:tc>
          <w:tcPr>
            <w:tcW w:w="983" w:type="dxa"/>
            <w:tcBorders>
              <w:top w:val="nil"/>
              <w:left w:val="nil"/>
              <w:bottom w:val="single" w:color="auto" w:sz="4" w:space="0"/>
              <w:right w:val="single" w:color="auto" w:sz="4" w:space="0"/>
            </w:tcBorders>
            <w:shd w:val="clear" w:color="auto" w:fill="auto"/>
            <w:vAlign w:val="center"/>
          </w:tcPr>
          <w:p>
            <w:pPr>
              <w:pStyle w:val="38"/>
            </w:pPr>
            <w:r>
              <w:t>240</w:t>
            </w:r>
          </w:p>
        </w:tc>
      </w:tr>
      <w:tr>
        <w:tblPrEx>
          <w:tblCellMar>
            <w:top w:w="0" w:type="dxa"/>
            <w:left w:w="108" w:type="dxa"/>
            <w:bottom w:w="0" w:type="dxa"/>
            <w:right w:w="108" w:type="dxa"/>
          </w:tblCellMar>
        </w:tblPrEx>
        <w:trPr>
          <w:trHeight w:val="270" w:hRule="atLeast"/>
        </w:trPr>
        <w:tc>
          <w:tcPr>
            <w:tcW w:w="2282" w:type="dxa"/>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流量合计</w:t>
            </w:r>
          </w:p>
        </w:tc>
        <w:tc>
          <w:tcPr>
            <w:tcW w:w="3583" w:type="dxa"/>
            <w:tcBorders>
              <w:top w:val="nil"/>
              <w:left w:val="nil"/>
              <w:bottom w:val="single" w:color="auto" w:sz="4" w:space="0"/>
              <w:right w:val="single" w:color="auto" w:sz="4" w:space="0"/>
            </w:tcBorders>
            <w:shd w:val="clear" w:color="auto" w:fill="auto"/>
            <w:vAlign w:val="center"/>
          </w:tcPr>
          <w:p>
            <w:pPr>
              <w:pStyle w:val="38"/>
            </w:pP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Gbps</w:t>
            </w:r>
          </w:p>
        </w:tc>
        <w:tc>
          <w:tcPr>
            <w:tcW w:w="984" w:type="dxa"/>
            <w:tcBorders>
              <w:top w:val="nil"/>
              <w:left w:val="nil"/>
              <w:bottom w:val="single" w:color="auto" w:sz="4" w:space="0"/>
              <w:right w:val="single" w:color="auto" w:sz="4" w:space="0"/>
            </w:tcBorders>
            <w:shd w:val="clear" w:color="auto" w:fill="auto"/>
            <w:vAlign w:val="center"/>
          </w:tcPr>
          <w:p>
            <w:pPr>
              <w:pStyle w:val="38"/>
            </w:pPr>
            <w:r>
              <w:t>125</w:t>
            </w:r>
          </w:p>
        </w:tc>
        <w:tc>
          <w:tcPr>
            <w:tcW w:w="983" w:type="dxa"/>
            <w:tcBorders>
              <w:top w:val="nil"/>
              <w:left w:val="nil"/>
              <w:bottom w:val="single" w:color="auto" w:sz="4" w:space="0"/>
              <w:right w:val="single" w:color="auto" w:sz="4" w:space="0"/>
            </w:tcBorders>
            <w:shd w:val="clear" w:color="auto" w:fill="auto"/>
            <w:vAlign w:val="center"/>
          </w:tcPr>
          <w:p>
            <w:pPr>
              <w:pStyle w:val="38"/>
            </w:pPr>
            <w:r>
              <w:t>740</w:t>
            </w:r>
          </w:p>
        </w:tc>
      </w:tr>
      <w:tr>
        <w:tblPrEx>
          <w:tblCellMar>
            <w:top w:w="0" w:type="dxa"/>
            <w:left w:w="108" w:type="dxa"/>
            <w:bottom w:w="0" w:type="dxa"/>
            <w:right w:w="108" w:type="dxa"/>
          </w:tblCellMar>
        </w:tblPrEx>
        <w:trPr>
          <w:trHeight w:val="270" w:hRule="atLeast"/>
        </w:trPr>
        <w:tc>
          <w:tcPr>
            <w:tcW w:w="2282" w:type="dxa"/>
            <w:tcBorders>
              <w:top w:val="nil"/>
              <w:left w:val="single" w:color="auto" w:sz="4" w:space="0"/>
              <w:bottom w:val="single" w:color="auto" w:sz="4" w:space="0"/>
              <w:right w:val="single" w:color="auto" w:sz="4" w:space="0"/>
            </w:tcBorders>
            <w:shd w:val="clear" w:color="auto" w:fill="auto"/>
            <w:vAlign w:val="center"/>
          </w:tcPr>
          <w:p>
            <w:pPr>
              <w:pStyle w:val="38"/>
            </w:pPr>
            <w:r>
              <w:rPr>
                <w:rFonts w:hint="eastAsia"/>
              </w:rPr>
              <w:t>出口带宽需求</w:t>
            </w:r>
          </w:p>
        </w:tc>
        <w:tc>
          <w:tcPr>
            <w:tcW w:w="3583" w:type="dxa"/>
            <w:tcBorders>
              <w:top w:val="nil"/>
              <w:left w:val="nil"/>
              <w:bottom w:val="single" w:color="auto" w:sz="4" w:space="0"/>
              <w:right w:val="single" w:color="auto" w:sz="4" w:space="0"/>
            </w:tcBorders>
            <w:shd w:val="clear" w:color="auto" w:fill="auto"/>
            <w:vAlign w:val="center"/>
          </w:tcPr>
          <w:p>
            <w:pPr>
              <w:pStyle w:val="38"/>
            </w:pPr>
          </w:p>
        </w:tc>
        <w:tc>
          <w:tcPr>
            <w:tcW w:w="1490" w:type="dxa"/>
            <w:tcBorders>
              <w:top w:val="nil"/>
              <w:left w:val="nil"/>
              <w:bottom w:val="single" w:color="auto" w:sz="4" w:space="0"/>
              <w:right w:val="single" w:color="auto" w:sz="4" w:space="0"/>
            </w:tcBorders>
            <w:shd w:val="clear" w:color="auto" w:fill="auto"/>
            <w:vAlign w:val="center"/>
          </w:tcPr>
          <w:p>
            <w:pPr>
              <w:pStyle w:val="38"/>
            </w:pPr>
            <w:r>
              <w:rPr>
                <w:rFonts w:hint="eastAsia"/>
              </w:rPr>
              <w:t>Gbps</w:t>
            </w:r>
          </w:p>
        </w:tc>
        <w:tc>
          <w:tcPr>
            <w:tcW w:w="984" w:type="dxa"/>
            <w:tcBorders>
              <w:top w:val="nil"/>
              <w:left w:val="nil"/>
              <w:bottom w:val="single" w:color="auto" w:sz="4" w:space="0"/>
              <w:right w:val="single" w:color="auto" w:sz="4" w:space="0"/>
            </w:tcBorders>
            <w:shd w:val="clear" w:color="auto" w:fill="auto"/>
            <w:vAlign w:val="center"/>
          </w:tcPr>
          <w:p>
            <w:pPr>
              <w:pStyle w:val="38"/>
            </w:pPr>
            <w:r>
              <w:t>200</w:t>
            </w:r>
          </w:p>
        </w:tc>
        <w:tc>
          <w:tcPr>
            <w:tcW w:w="983" w:type="dxa"/>
            <w:tcBorders>
              <w:top w:val="nil"/>
              <w:left w:val="nil"/>
              <w:bottom w:val="single" w:color="auto" w:sz="4" w:space="0"/>
              <w:right w:val="single" w:color="auto" w:sz="4" w:space="0"/>
            </w:tcBorders>
            <w:shd w:val="clear" w:color="auto" w:fill="auto"/>
            <w:vAlign w:val="center"/>
          </w:tcPr>
          <w:p>
            <w:pPr>
              <w:pStyle w:val="38"/>
            </w:pPr>
            <w:r>
              <w:t>1000</w:t>
            </w:r>
          </w:p>
        </w:tc>
      </w:tr>
    </w:tbl>
    <w:p>
      <w:pPr>
        <w:pStyle w:val="2"/>
        <w:numPr>
          <w:ilvl w:val="0"/>
          <w:numId w:val="3"/>
        </w:numPr>
        <w:spacing w:before="326" w:after="326"/>
        <w:ind w:firstLineChars="0"/>
      </w:pPr>
      <w:bookmarkStart w:id="125" w:name="_Toc427231671"/>
      <w:bookmarkStart w:id="126" w:name="_Toc472351131"/>
      <w:bookmarkStart w:id="127" w:name="_Toc427223662"/>
      <w:bookmarkStart w:id="128" w:name="_Toc2021459541"/>
      <w:r>
        <w:rPr>
          <w:rFonts w:hint="eastAsia"/>
        </w:rPr>
        <w:t>现状分析</w:t>
      </w:r>
      <w:bookmarkEnd w:id="125"/>
      <w:bookmarkEnd w:id="126"/>
      <w:bookmarkEnd w:id="127"/>
      <w:bookmarkEnd w:id="128"/>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129" w:name="_Toc16196334"/>
      <w:bookmarkEnd w:id="129"/>
      <w:bookmarkStart w:id="130" w:name="_Toc16196426"/>
      <w:bookmarkEnd w:id="130"/>
      <w:bookmarkStart w:id="131" w:name="_Toc16196518"/>
      <w:bookmarkEnd w:id="131"/>
      <w:bookmarkStart w:id="132" w:name="_Toc22076676"/>
      <w:bookmarkEnd w:id="132"/>
      <w:bookmarkStart w:id="133" w:name="_Toc18422565"/>
      <w:bookmarkEnd w:id="133"/>
    </w:p>
    <w:p>
      <w:pPr>
        <w:pStyle w:val="3"/>
        <w:numPr>
          <w:ilvl w:val="1"/>
          <w:numId w:val="4"/>
        </w:numPr>
        <w:spacing w:before="156" w:after="163"/>
      </w:pPr>
      <w:bookmarkStart w:id="134" w:name="_Toc430840636"/>
      <w:r>
        <w:rPr>
          <w:rFonts w:hint="eastAsia"/>
        </w:rPr>
        <w:t>无线网现状</w:t>
      </w:r>
      <w:bookmarkEnd w:id="134"/>
    </w:p>
    <w:p>
      <w:pPr>
        <w:pStyle w:val="25"/>
        <w:keepNext/>
        <w:keepLines/>
        <w:numPr>
          <w:ilvl w:val="0"/>
          <w:numId w:val="11"/>
        </w:numPr>
        <w:ind w:firstLineChars="0"/>
        <w:outlineLvl w:val="2"/>
        <w:rPr>
          <w:rFonts w:eastAsia="黑体"/>
          <w:bCs/>
          <w:vanish/>
          <w:sz w:val="28"/>
          <w:szCs w:val="32"/>
        </w:rPr>
      </w:pPr>
      <w:bookmarkStart w:id="135" w:name="_Toc18422567"/>
      <w:bookmarkEnd w:id="135"/>
      <w:bookmarkStart w:id="136" w:name="_Toc16196520"/>
      <w:bookmarkEnd w:id="136"/>
      <w:bookmarkStart w:id="137" w:name="_Toc22076678"/>
      <w:bookmarkEnd w:id="137"/>
      <w:bookmarkStart w:id="138" w:name="_Toc16196336"/>
      <w:bookmarkEnd w:id="138"/>
      <w:bookmarkStart w:id="139" w:name="_Toc16196428"/>
      <w:bookmarkEnd w:id="139"/>
    </w:p>
    <w:p>
      <w:pPr>
        <w:pStyle w:val="25"/>
        <w:keepNext/>
        <w:keepLines/>
        <w:numPr>
          <w:ilvl w:val="1"/>
          <w:numId w:val="11"/>
        </w:numPr>
        <w:ind w:firstLineChars="0"/>
        <w:outlineLvl w:val="2"/>
        <w:rPr>
          <w:rFonts w:eastAsia="黑体"/>
          <w:bCs/>
          <w:vanish/>
          <w:sz w:val="28"/>
          <w:szCs w:val="32"/>
        </w:rPr>
      </w:pPr>
      <w:bookmarkStart w:id="140" w:name="_Toc18422568"/>
      <w:bookmarkEnd w:id="140"/>
      <w:bookmarkStart w:id="141" w:name="_Toc16196521"/>
      <w:bookmarkEnd w:id="141"/>
      <w:bookmarkStart w:id="142" w:name="_Toc16196429"/>
      <w:bookmarkEnd w:id="142"/>
      <w:bookmarkStart w:id="143" w:name="_Toc22076679"/>
      <w:bookmarkEnd w:id="143"/>
      <w:bookmarkStart w:id="144" w:name="_Toc16196337"/>
      <w:bookmarkEnd w:id="144"/>
    </w:p>
    <w:p>
      <w:pPr>
        <w:pStyle w:val="25"/>
        <w:keepNext/>
        <w:keepLines/>
        <w:numPr>
          <w:ilvl w:val="0"/>
          <w:numId w:val="8"/>
        </w:numPr>
        <w:ind w:firstLineChars="0"/>
        <w:outlineLvl w:val="2"/>
        <w:rPr>
          <w:rFonts w:eastAsia="黑体"/>
          <w:bCs/>
          <w:vanish/>
          <w:sz w:val="28"/>
          <w:szCs w:val="32"/>
        </w:rPr>
      </w:pPr>
      <w:bookmarkStart w:id="145" w:name="_Toc16196338"/>
      <w:bookmarkEnd w:id="145"/>
      <w:bookmarkStart w:id="146" w:name="_Toc18422569"/>
      <w:bookmarkEnd w:id="146"/>
      <w:bookmarkStart w:id="147" w:name="_Toc16196430"/>
      <w:bookmarkEnd w:id="147"/>
      <w:bookmarkStart w:id="148" w:name="_Toc22076680"/>
      <w:bookmarkEnd w:id="148"/>
      <w:bookmarkStart w:id="149" w:name="_Toc16196522"/>
      <w:bookmarkEnd w:id="149"/>
    </w:p>
    <w:p>
      <w:pPr>
        <w:pStyle w:val="25"/>
        <w:keepNext/>
        <w:keepLines/>
        <w:numPr>
          <w:ilvl w:val="0"/>
          <w:numId w:val="8"/>
        </w:numPr>
        <w:ind w:firstLineChars="0"/>
        <w:outlineLvl w:val="2"/>
        <w:rPr>
          <w:rFonts w:eastAsia="黑体"/>
          <w:bCs/>
          <w:vanish/>
          <w:sz w:val="28"/>
          <w:szCs w:val="32"/>
        </w:rPr>
      </w:pPr>
      <w:bookmarkStart w:id="150" w:name="_Toc22076681"/>
      <w:bookmarkEnd w:id="150"/>
      <w:bookmarkStart w:id="151" w:name="_Toc18422570"/>
      <w:bookmarkEnd w:id="151"/>
    </w:p>
    <w:p>
      <w:pPr>
        <w:pStyle w:val="25"/>
        <w:keepNext/>
        <w:keepLines/>
        <w:numPr>
          <w:ilvl w:val="1"/>
          <w:numId w:val="8"/>
        </w:numPr>
        <w:ind w:firstLineChars="0"/>
        <w:outlineLvl w:val="2"/>
        <w:rPr>
          <w:rFonts w:eastAsia="黑体"/>
          <w:bCs/>
          <w:vanish/>
          <w:sz w:val="28"/>
          <w:szCs w:val="32"/>
        </w:rPr>
      </w:pPr>
      <w:bookmarkStart w:id="152" w:name="_Toc18422571"/>
      <w:bookmarkEnd w:id="152"/>
      <w:bookmarkStart w:id="153" w:name="_Toc22076682"/>
      <w:bookmarkEnd w:id="153"/>
    </w:p>
    <w:p>
      <w:pPr>
        <w:pStyle w:val="4"/>
        <w:numPr>
          <w:ilvl w:val="2"/>
          <w:numId w:val="8"/>
        </w:numPr>
        <w:ind w:firstLineChars="0"/>
      </w:pPr>
      <w:bookmarkStart w:id="154" w:name="_Toc451875652"/>
      <w:r>
        <w:rPr>
          <w:rFonts w:hint="eastAsia"/>
        </w:rPr>
        <w:t>铁塔物理站址现状</w:t>
      </w:r>
      <w:bookmarkEnd w:id="154"/>
    </w:p>
    <w:p>
      <w:pPr>
        <w:ind w:firstLine="480"/>
      </w:pPr>
      <w:r>
        <w:rPr>
          <w:rFonts w:hint="eastAsia"/>
        </w:rPr>
        <w:t>海南生态智慧新城起步区附近中国铁塔目前共存量物理站址1</w:t>
      </w:r>
      <w:r>
        <w:t>5</w:t>
      </w:r>
      <w:r>
        <w:rPr>
          <w:rFonts w:hint="eastAsia"/>
        </w:rPr>
        <w:t xml:space="preserve"> 个,在建站点3个。</w:t>
      </w:r>
    </w:p>
    <w:p>
      <w:pPr>
        <w:ind w:firstLine="480"/>
      </w:pPr>
      <w:r>
        <w:t>目前存量站点主要分布在起步区外围</w:t>
      </w:r>
      <w:r>
        <w:rPr>
          <w:rFonts w:hint="eastAsia"/>
        </w:rPr>
        <w:t>，起步区内基站较少，</w:t>
      </w:r>
      <w:r>
        <w:t>随着起步区建设的不断</w:t>
      </w:r>
      <w:r>
        <w:rPr>
          <w:rFonts w:hint="eastAsia"/>
        </w:rPr>
        <w:t>进展，建筑物逐渐成型，存量物理站点很难满足起步区的网络覆盖需求。</w:t>
      </w:r>
    </w:p>
    <w:p>
      <w:pPr>
        <w:ind w:firstLine="480"/>
      </w:pPr>
      <w:r>
        <w:drawing>
          <wp:inline distT="0" distB="0" distL="0" distR="0">
            <wp:extent cx="4514215" cy="4838065"/>
            <wp:effectExtent l="0" t="0" r="635" b="63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4514286" cy="4838095"/>
                    </a:xfrm>
                    <a:prstGeom prst="rect">
                      <a:avLst/>
                    </a:prstGeom>
                  </pic:spPr>
                </pic:pic>
              </a:graphicData>
            </a:graphic>
          </wp:inline>
        </w:drawing>
      </w:r>
    </w:p>
    <w:p>
      <w:pPr>
        <w:ind w:firstLine="480"/>
        <w:jc w:val="center"/>
      </w:pPr>
      <w:r>
        <w:rPr>
          <w:rFonts w:hint="eastAsia"/>
        </w:rPr>
        <w:t>图3</w:t>
      </w:r>
      <w:r>
        <w:t>.3.1 铁塔物理站址现状</w:t>
      </w:r>
    </w:p>
    <w:p>
      <w:pPr>
        <w:ind w:firstLine="480"/>
        <w:jc w:val="center"/>
        <w:rPr>
          <w:rFonts w:ascii="宋体" w:hAnsi="宋体"/>
        </w:rPr>
      </w:pPr>
      <w:r>
        <w:rPr>
          <w:rFonts w:hint="eastAsia" w:ascii="宋体" w:hAnsi="宋体"/>
        </w:rPr>
        <w:t>表2-1存量站点清单</w:t>
      </w:r>
    </w:p>
    <w:tbl>
      <w:tblPr>
        <w:tblStyle w:val="17"/>
        <w:tblW w:w="5835" w:type="pct"/>
        <w:tblInd w:w="-449"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339"/>
        <w:gridCol w:w="1170"/>
        <w:gridCol w:w="1170"/>
        <w:gridCol w:w="883"/>
        <w:gridCol w:w="1607"/>
        <w:gridCol w:w="1170"/>
        <w:gridCol w:w="1018"/>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站点名称</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经度</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纬度</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基站状态</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现有运营商</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站点类型</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站点高度</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76"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澄迈老城高速路口</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110.123690</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19.932160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电信</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50</w:t>
            </w:r>
            <w:r>
              <w:rPr>
                <w:rFonts w:hint="eastAsia" w:ascii="宋体" w:hAnsi="宋体" w:cs="宋体"/>
                <w:color w:val="000000"/>
                <w:kern w:val="0"/>
                <w:sz w:val="18"/>
                <w:szCs w:val="18"/>
              </w:rPr>
              <w:t>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76"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澄迈白莲基站</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110.129170</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19.899720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移动+电信+联通</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76"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海口琼山石山美鳌</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110.145800</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19.939200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移动+电信+联通</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76"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澄迈老城西环高铁10K</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110.134900</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19.940762</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电信+联通</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76"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澄迈白莲老街</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110.120350</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19.909720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电信</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21</w:t>
            </w:r>
            <w:r>
              <w:rPr>
                <w:rFonts w:hint="eastAsia" w:ascii="宋体" w:hAnsi="宋体" w:cs="宋体"/>
                <w:color w:val="000000"/>
                <w:kern w:val="0"/>
                <w:sz w:val="18"/>
                <w:szCs w:val="18"/>
              </w:rPr>
              <w:t>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76"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海口琼山西环美岭</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110.139007</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19.911550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电信+联通</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澄迈美仑佳园</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110.12349</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19.93196</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联通</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50</w:t>
            </w:r>
            <w:r>
              <w:rPr>
                <w:rFonts w:hint="eastAsia" w:ascii="宋体" w:hAnsi="宋体" w:cs="宋体"/>
                <w:color w:val="000000"/>
                <w:kern w:val="0"/>
                <w:sz w:val="18"/>
                <w:szCs w:val="18"/>
              </w:rPr>
              <w:t>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澄迈白莲镇上</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110.12095</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19.91097</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联通</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15</w:t>
            </w:r>
            <w:r>
              <w:rPr>
                <w:rFonts w:hint="eastAsia" w:ascii="宋体" w:hAnsi="宋体" w:cs="宋体"/>
                <w:color w:val="000000"/>
                <w:kern w:val="0"/>
                <w:sz w:val="18"/>
                <w:szCs w:val="18"/>
              </w:rPr>
              <w:t>米</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澄迈白莲文化北路200号</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110.121124</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19.909857</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移动</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8</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澄迈白莲老街王宅</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110.120001</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19.909720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7</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澄迈白莲入口李宅</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110.123674</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19.918986</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7</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澄迈白莲群英菜馆</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110.123866</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19.919860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16</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4</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澄迈老城高速路口依爱花园</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110.123695</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19.932218</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53</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5</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海口石山玉豹村</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110.143050</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19.921660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现有</w:t>
            </w:r>
          </w:p>
        </w:tc>
        <w:tc>
          <w:tcPr>
            <w:tcW w:w="80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3</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6</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澄迈未来体育培训楼</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110.135404</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19.917500</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在建</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移动+电信</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楼面抱杆</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6</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17</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澄迈智慧新城灯杆</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110.129259</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19.918419</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在建</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移动+电信</w:t>
            </w:r>
          </w:p>
        </w:tc>
        <w:tc>
          <w:tcPr>
            <w:tcW w:w="588" w:type="pct"/>
            <w:shd w:val="clear" w:color="auto" w:fill="auto"/>
            <w:noWrap/>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35</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5"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18</w:t>
            </w:r>
          </w:p>
        </w:tc>
        <w:tc>
          <w:tcPr>
            <w:tcW w:w="1176"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澄迈智慧新城宿舍灯杆</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110.137405</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19.932639</w:t>
            </w:r>
          </w:p>
        </w:tc>
        <w:tc>
          <w:tcPr>
            <w:tcW w:w="444" w:type="pct"/>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在建</w:t>
            </w:r>
          </w:p>
        </w:tc>
        <w:tc>
          <w:tcPr>
            <w:tcW w:w="80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移动++电信+联通</w:t>
            </w:r>
          </w:p>
        </w:tc>
        <w:tc>
          <w:tcPr>
            <w:tcW w:w="588"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普通地面塔</w:t>
            </w:r>
          </w:p>
        </w:tc>
        <w:tc>
          <w:tcPr>
            <w:tcW w:w="512" w:type="pc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35</w:t>
            </w:r>
          </w:p>
        </w:tc>
      </w:tr>
    </w:tbl>
    <w:p>
      <w:pPr>
        <w:pStyle w:val="4"/>
        <w:numPr>
          <w:ilvl w:val="2"/>
          <w:numId w:val="8"/>
        </w:numPr>
        <w:ind w:firstLineChars="0"/>
      </w:pPr>
      <w:bookmarkStart w:id="155" w:name="_Toc896303117"/>
      <w:r>
        <w:rPr>
          <w:rFonts w:hint="eastAsia"/>
        </w:rPr>
        <w:t>运营商站点情况</w:t>
      </w:r>
      <w:bookmarkEnd w:id="155"/>
    </w:p>
    <w:p>
      <w:pPr>
        <w:ind w:firstLine="480"/>
        <w:jc w:val="center"/>
      </w:pPr>
      <w:r>
        <w:drawing>
          <wp:inline distT="0" distB="0" distL="0" distR="0">
            <wp:extent cx="3590925" cy="3880485"/>
            <wp:effectExtent l="0" t="0" r="9525" b="571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5"/>
                    <a:stretch>
                      <a:fillRect/>
                    </a:stretch>
                  </pic:blipFill>
                  <pic:spPr>
                    <a:xfrm>
                      <a:off x="0" y="0"/>
                      <a:ext cx="3627217" cy="3919605"/>
                    </a:xfrm>
                    <a:prstGeom prst="rect">
                      <a:avLst/>
                    </a:prstGeom>
                  </pic:spPr>
                </pic:pic>
              </a:graphicData>
            </a:graphic>
          </wp:inline>
        </w:drawing>
      </w:r>
    </w:p>
    <w:p>
      <w:pPr>
        <w:ind w:firstLine="480"/>
        <w:jc w:val="center"/>
      </w:pPr>
      <w:r>
        <w:t>图</w:t>
      </w:r>
      <w:r>
        <w:rPr>
          <w:rFonts w:hint="eastAsia"/>
        </w:rPr>
        <w:t>3</w:t>
      </w:r>
      <w:r>
        <w:t>.3.2</w:t>
      </w:r>
      <w:r>
        <w:rPr>
          <w:rFonts w:hint="eastAsia"/>
        </w:rPr>
        <w:t>-</w:t>
      </w:r>
      <w:r>
        <w:t>1中国移动站点分布图</w:t>
      </w:r>
    </w:p>
    <w:p>
      <w:pPr>
        <w:ind w:firstLine="480"/>
        <w:jc w:val="center"/>
      </w:pPr>
      <w:r>
        <w:drawing>
          <wp:inline distT="0" distB="0" distL="0" distR="0">
            <wp:extent cx="3359785" cy="3652520"/>
            <wp:effectExtent l="0" t="0" r="0" b="508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6"/>
                    <a:stretch>
                      <a:fillRect/>
                    </a:stretch>
                  </pic:blipFill>
                  <pic:spPr>
                    <a:xfrm>
                      <a:off x="0" y="0"/>
                      <a:ext cx="3370112" cy="3664148"/>
                    </a:xfrm>
                    <a:prstGeom prst="rect">
                      <a:avLst/>
                    </a:prstGeom>
                  </pic:spPr>
                </pic:pic>
              </a:graphicData>
            </a:graphic>
          </wp:inline>
        </w:drawing>
      </w:r>
    </w:p>
    <w:p>
      <w:pPr>
        <w:ind w:firstLine="480"/>
        <w:jc w:val="center"/>
      </w:pPr>
      <w:r>
        <w:t>图</w:t>
      </w:r>
      <w:r>
        <w:rPr>
          <w:rFonts w:hint="eastAsia"/>
        </w:rPr>
        <w:t>3</w:t>
      </w:r>
      <w:r>
        <w:t>.3.2</w:t>
      </w:r>
      <w:r>
        <w:rPr>
          <w:rFonts w:hint="eastAsia"/>
        </w:rPr>
        <w:t>-</w:t>
      </w:r>
      <w:r>
        <w:t>2中国电信站点分布图</w:t>
      </w:r>
    </w:p>
    <w:p>
      <w:pPr>
        <w:ind w:firstLine="480"/>
        <w:jc w:val="center"/>
      </w:pPr>
      <w:r>
        <w:drawing>
          <wp:inline distT="0" distB="0" distL="0" distR="0">
            <wp:extent cx="3413125" cy="3992880"/>
            <wp:effectExtent l="0" t="0" r="0" b="762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7"/>
                    <a:stretch>
                      <a:fillRect/>
                    </a:stretch>
                  </pic:blipFill>
                  <pic:spPr>
                    <a:xfrm>
                      <a:off x="0" y="0"/>
                      <a:ext cx="3417503" cy="3997684"/>
                    </a:xfrm>
                    <a:prstGeom prst="rect">
                      <a:avLst/>
                    </a:prstGeom>
                  </pic:spPr>
                </pic:pic>
              </a:graphicData>
            </a:graphic>
          </wp:inline>
        </w:drawing>
      </w:r>
    </w:p>
    <w:p>
      <w:pPr>
        <w:ind w:firstLine="480"/>
        <w:jc w:val="center"/>
      </w:pPr>
      <w:r>
        <w:t>图</w:t>
      </w:r>
      <w:r>
        <w:rPr>
          <w:rFonts w:hint="eastAsia"/>
        </w:rPr>
        <w:t>3</w:t>
      </w:r>
      <w:r>
        <w:t>.3.2</w:t>
      </w:r>
      <w:r>
        <w:rPr>
          <w:rFonts w:hint="eastAsia"/>
        </w:rPr>
        <w:t>-</w:t>
      </w:r>
      <w:r>
        <w:t>3中国</w:t>
      </w:r>
      <w:r>
        <w:rPr>
          <w:rFonts w:hint="eastAsia"/>
        </w:rPr>
        <w:t>联通</w:t>
      </w:r>
      <w:r>
        <w:t>站点分布图</w:t>
      </w:r>
    </w:p>
    <w:tbl>
      <w:tblPr>
        <w:tblStyle w:val="17"/>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24"/>
        <w:gridCol w:w="1524"/>
        <w:gridCol w:w="1524"/>
        <w:gridCol w:w="152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4" w:type="dxa"/>
            <w:vAlign w:val="center"/>
          </w:tcPr>
          <w:p>
            <w:pPr>
              <w:ind w:firstLine="0" w:firstLineChars="0"/>
              <w:jc w:val="center"/>
              <w:rPr>
                <w:rFonts w:ascii="宋体" w:hAnsi="宋体"/>
              </w:rPr>
            </w:pPr>
            <w:r>
              <w:rPr>
                <w:rFonts w:hint="eastAsia" w:ascii="宋体" w:hAnsi="宋体"/>
              </w:rPr>
              <w:t>运营商</w:t>
            </w:r>
          </w:p>
        </w:tc>
        <w:tc>
          <w:tcPr>
            <w:tcW w:w="1524" w:type="dxa"/>
            <w:vAlign w:val="center"/>
          </w:tcPr>
          <w:p>
            <w:pPr>
              <w:ind w:firstLine="0" w:firstLineChars="0"/>
              <w:jc w:val="center"/>
              <w:rPr>
                <w:rFonts w:ascii="宋体" w:hAnsi="宋体"/>
              </w:rPr>
            </w:pPr>
            <w:r>
              <w:rPr>
                <w:rFonts w:hint="eastAsia" w:ascii="宋体" w:hAnsi="宋体"/>
              </w:rPr>
              <w:t>现网站点</w:t>
            </w:r>
          </w:p>
        </w:tc>
        <w:tc>
          <w:tcPr>
            <w:tcW w:w="1524" w:type="dxa"/>
          </w:tcPr>
          <w:p>
            <w:pPr>
              <w:ind w:firstLine="0" w:firstLineChars="0"/>
              <w:jc w:val="center"/>
              <w:rPr>
                <w:rFonts w:ascii="宋体" w:hAnsi="宋体"/>
              </w:rPr>
            </w:pPr>
            <w:r>
              <w:rPr>
                <w:rFonts w:hint="eastAsia" w:ascii="宋体" w:hAnsi="宋体"/>
              </w:rPr>
              <w:t>在建站点</w:t>
            </w:r>
          </w:p>
        </w:tc>
        <w:tc>
          <w:tcPr>
            <w:tcW w:w="1524" w:type="dxa"/>
          </w:tcPr>
          <w:p>
            <w:pPr>
              <w:ind w:firstLine="0" w:firstLineChars="0"/>
              <w:jc w:val="center"/>
              <w:rPr>
                <w:rFonts w:ascii="宋体" w:hAnsi="宋体"/>
              </w:rPr>
            </w:pPr>
            <w:r>
              <w:rPr>
                <w:rFonts w:hint="eastAsia" w:ascii="宋体" w:hAnsi="宋体"/>
              </w:rPr>
              <w:t>合计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4" w:type="dxa"/>
            <w:vAlign w:val="center"/>
          </w:tcPr>
          <w:p>
            <w:pPr>
              <w:ind w:firstLine="0" w:firstLineChars="0"/>
              <w:jc w:val="center"/>
              <w:rPr>
                <w:rFonts w:ascii="宋体" w:hAnsi="宋体"/>
              </w:rPr>
            </w:pPr>
            <w:r>
              <w:rPr>
                <w:rFonts w:hint="eastAsia" w:ascii="宋体" w:hAnsi="宋体"/>
              </w:rPr>
              <w:t>中国移动</w:t>
            </w:r>
          </w:p>
        </w:tc>
        <w:tc>
          <w:tcPr>
            <w:tcW w:w="1524" w:type="dxa"/>
            <w:vAlign w:val="center"/>
          </w:tcPr>
          <w:p>
            <w:pPr>
              <w:ind w:firstLine="0" w:firstLineChars="0"/>
              <w:jc w:val="center"/>
              <w:rPr>
                <w:rFonts w:ascii="宋体" w:hAnsi="宋体"/>
              </w:rPr>
            </w:pPr>
            <w:r>
              <w:rPr>
                <w:rFonts w:ascii="宋体" w:hAnsi="宋体"/>
              </w:rPr>
              <w:t>9</w:t>
            </w:r>
          </w:p>
        </w:tc>
        <w:tc>
          <w:tcPr>
            <w:tcW w:w="1524" w:type="dxa"/>
          </w:tcPr>
          <w:p>
            <w:pPr>
              <w:ind w:firstLine="0" w:firstLineChars="0"/>
              <w:jc w:val="center"/>
              <w:rPr>
                <w:rFonts w:ascii="宋体" w:hAnsi="宋体"/>
              </w:rPr>
            </w:pPr>
            <w:r>
              <w:rPr>
                <w:rFonts w:hint="eastAsia" w:ascii="宋体" w:hAnsi="宋体"/>
              </w:rPr>
              <w:t>3</w:t>
            </w:r>
          </w:p>
        </w:tc>
        <w:tc>
          <w:tcPr>
            <w:tcW w:w="1524" w:type="dxa"/>
          </w:tcPr>
          <w:p>
            <w:pPr>
              <w:ind w:firstLine="0" w:firstLineChars="0"/>
              <w:jc w:val="center"/>
              <w:rPr>
                <w:rFonts w:ascii="宋体" w:hAnsi="宋体"/>
              </w:rPr>
            </w:pPr>
            <w:r>
              <w:rPr>
                <w:rFonts w:ascii="宋体" w:hAnsi="宋体"/>
              </w:rPr>
              <w:t>12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24" w:type="dxa"/>
            <w:vAlign w:val="center"/>
          </w:tcPr>
          <w:p>
            <w:pPr>
              <w:ind w:firstLine="0" w:firstLineChars="0"/>
              <w:jc w:val="center"/>
              <w:rPr>
                <w:rFonts w:ascii="宋体" w:hAnsi="宋体"/>
              </w:rPr>
            </w:pPr>
            <w:r>
              <w:rPr>
                <w:rFonts w:hint="eastAsia" w:ascii="宋体" w:hAnsi="宋体"/>
              </w:rPr>
              <w:t>中国电信</w:t>
            </w:r>
          </w:p>
        </w:tc>
        <w:tc>
          <w:tcPr>
            <w:tcW w:w="1524" w:type="dxa"/>
            <w:vAlign w:val="center"/>
          </w:tcPr>
          <w:p>
            <w:pPr>
              <w:ind w:firstLine="0" w:firstLineChars="0"/>
              <w:jc w:val="center"/>
              <w:rPr>
                <w:rFonts w:ascii="宋体" w:hAnsi="宋体"/>
              </w:rPr>
            </w:pPr>
            <w:r>
              <w:rPr>
                <w:rFonts w:ascii="宋体" w:hAnsi="宋体"/>
              </w:rPr>
              <w:t>6</w:t>
            </w:r>
          </w:p>
        </w:tc>
        <w:tc>
          <w:tcPr>
            <w:tcW w:w="1524" w:type="dxa"/>
          </w:tcPr>
          <w:p>
            <w:pPr>
              <w:ind w:firstLine="0" w:firstLineChars="0"/>
              <w:jc w:val="center"/>
              <w:rPr>
                <w:rFonts w:ascii="宋体" w:hAnsi="宋体"/>
              </w:rPr>
            </w:pPr>
            <w:r>
              <w:rPr>
                <w:rFonts w:ascii="宋体" w:hAnsi="宋体"/>
              </w:rPr>
              <w:t>3</w:t>
            </w:r>
          </w:p>
        </w:tc>
        <w:tc>
          <w:tcPr>
            <w:tcW w:w="1524" w:type="dxa"/>
          </w:tcPr>
          <w:p>
            <w:pPr>
              <w:ind w:firstLine="0" w:firstLineChars="0"/>
              <w:jc w:val="center"/>
              <w:rPr>
                <w:rFonts w:ascii="宋体" w:hAnsi="宋体"/>
              </w:rPr>
            </w:pPr>
            <w:r>
              <w:rPr>
                <w:rFonts w:ascii="宋体" w:hAnsi="宋体"/>
              </w:rPr>
              <w:t>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jc w:val="center"/>
        </w:trPr>
        <w:tc>
          <w:tcPr>
            <w:tcW w:w="1524" w:type="dxa"/>
            <w:vAlign w:val="center"/>
          </w:tcPr>
          <w:p>
            <w:pPr>
              <w:ind w:firstLine="0" w:firstLineChars="0"/>
              <w:jc w:val="center"/>
              <w:rPr>
                <w:rFonts w:ascii="宋体" w:hAnsi="宋体"/>
              </w:rPr>
            </w:pPr>
            <w:r>
              <w:rPr>
                <w:rFonts w:hint="eastAsia" w:ascii="宋体" w:hAnsi="宋体"/>
              </w:rPr>
              <w:t>中国联通</w:t>
            </w:r>
          </w:p>
        </w:tc>
        <w:tc>
          <w:tcPr>
            <w:tcW w:w="1524" w:type="dxa"/>
            <w:vAlign w:val="center"/>
          </w:tcPr>
          <w:p>
            <w:pPr>
              <w:ind w:firstLine="0" w:firstLineChars="0"/>
              <w:jc w:val="center"/>
              <w:rPr>
                <w:rFonts w:ascii="宋体" w:hAnsi="宋体"/>
              </w:rPr>
            </w:pPr>
            <w:r>
              <w:rPr>
                <w:rFonts w:ascii="宋体" w:hAnsi="宋体"/>
              </w:rPr>
              <w:t>6</w:t>
            </w:r>
          </w:p>
        </w:tc>
        <w:tc>
          <w:tcPr>
            <w:tcW w:w="1524" w:type="dxa"/>
          </w:tcPr>
          <w:p>
            <w:pPr>
              <w:ind w:firstLine="0" w:firstLineChars="0"/>
              <w:jc w:val="center"/>
              <w:rPr>
                <w:rFonts w:ascii="宋体" w:hAnsi="宋体"/>
              </w:rPr>
            </w:pPr>
            <w:r>
              <w:rPr>
                <w:rFonts w:ascii="宋体" w:hAnsi="宋体"/>
              </w:rPr>
              <w:t>1</w:t>
            </w:r>
          </w:p>
        </w:tc>
        <w:tc>
          <w:tcPr>
            <w:tcW w:w="1524" w:type="dxa"/>
          </w:tcPr>
          <w:p>
            <w:pPr>
              <w:ind w:firstLine="0" w:firstLineChars="0"/>
              <w:jc w:val="center"/>
              <w:rPr>
                <w:rFonts w:ascii="宋体" w:hAnsi="宋体"/>
              </w:rPr>
            </w:pPr>
            <w:r>
              <w:rPr>
                <w:rFonts w:ascii="宋体" w:hAnsi="宋体"/>
              </w:rPr>
              <w:t>7</w:t>
            </w:r>
          </w:p>
        </w:tc>
      </w:tr>
    </w:tbl>
    <w:p>
      <w:pPr>
        <w:pStyle w:val="3"/>
        <w:numPr>
          <w:ilvl w:val="1"/>
          <w:numId w:val="4"/>
        </w:numPr>
        <w:spacing w:before="156" w:after="163"/>
      </w:pPr>
      <w:bookmarkStart w:id="156" w:name="_Toc336022582"/>
      <w:r>
        <w:rPr>
          <w:rFonts w:hint="eastAsia"/>
        </w:rPr>
        <w:t>通信局房现状</w:t>
      </w:r>
      <w:bookmarkEnd w:id="156"/>
    </w:p>
    <w:p>
      <w:pPr>
        <w:ind w:firstLine="480"/>
      </w:pPr>
      <w:r>
        <w:t>海南生态智慧新城起步区附近通信局房共</w:t>
      </w:r>
      <w:r>
        <w:rPr>
          <w:rFonts w:hint="eastAsia"/>
        </w:rPr>
        <w:t>3个，在建机房1个。</w:t>
      </w:r>
    </w:p>
    <w:p>
      <w:pPr>
        <w:ind w:firstLine="480"/>
      </w:pPr>
      <w:r>
        <w:t>现在通信局房中中国电信共</w:t>
      </w:r>
      <w:r>
        <w:rPr>
          <w:rFonts w:hint="eastAsia"/>
        </w:rPr>
        <w:t>2个，分别为老城接入网机房、白莲接入网机房；中国移动共1个为美月小河汇聚机房。在建机房为未来学校地下室机房。</w:t>
      </w:r>
    </w:p>
    <w:p>
      <w:pPr>
        <w:ind w:firstLine="480"/>
      </w:pPr>
      <w:r>
        <w:rPr>
          <w:rFonts w:hint="eastAsia"/>
        </w:rPr>
        <w:t>目前现有机房主要分布在起步区外，随着起步区的建设进展，综合业务量的增长，由于原有机房面积较小，距起步区较远，未来将很难满足起步区的业务接入需求。</w:t>
      </w:r>
    </w:p>
    <w:p>
      <w:pPr>
        <w:ind w:firstLine="480"/>
        <w:jc w:val="center"/>
      </w:pPr>
      <w:r>
        <w:drawing>
          <wp:inline distT="0" distB="0" distL="0" distR="0">
            <wp:extent cx="3524250" cy="3930015"/>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8"/>
                    <a:stretch>
                      <a:fillRect/>
                    </a:stretch>
                  </pic:blipFill>
                  <pic:spPr>
                    <a:xfrm>
                      <a:off x="0" y="0"/>
                      <a:ext cx="3525999" cy="3931976"/>
                    </a:xfrm>
                    <a:prstGeom prst="rect">
                      <a:avLst/>
                    </a:prstGeom>
                  </pic:spPr>
                </pic:pic>
              </a:graphicData>
            </a:graphic>
          </wp:inline>
        </w:drawing>
      </w:r>
    </w:p>
    <w:p>
      <w:pPr>
        <w:ind w:firstLine="480"/>
        <w:jc w:val="center"/>
      </w:pPr>
      <w:r>
        <w:t>图</w:t>
      </w:r>
      <w:r>
        <w:rPr>
          <w:rFonts w:hint="eastAsia"/>
        </w:rPr>
        <w:t>3</w:t>
      </w:r>
      <w:r>
        <w:t>.2</w:t>
      </w:r>
      <w:r>
        <w:rPr>
          <w:rFonts w:hint="eastAsia"/>
        </w:rPr>
        <w:t>通信</w:t>
      </w:r>
      <w:r>
        <w:t>局房分布图</w:t>
      </w:r>
    </w:p>
    <w:p>
      <w:pPr>
        <w:pStyle w:val="3"/>
        <w:numPr>
          <w:ilvl w:val="1"/>
          <w:numId w:val="4"/>
        </w:numPr>
        <w:spacing w:before="156" w:after="163"/>
      </w:pPr>
      <w:bookmarkStart w:id="157" w:name="_Toc1334029950"/>
      <w:r>
        <w:rPr>
          <w:rFonts w:hint="eastAsia"/>
        </w:rPr>
        <w:t>通信管道现状</w:t>
      </w:r>
      <w:bookmarkEnd w:id="157"/>
    </w:p>
    <w:p>
      <w:pPr>
        <w:ind w:firstLine="480"/>
      </w:pPr>
      <w:r>
        <w:t>起步区内原因市政通信管道</w:t>
      </w:r>
      <w:r>
        <w:rPr>
          <w:rFonts w:hint="eastAsia"/>
        </w:rPr>
        <w:t>，</w:t>
      </w:r>
      <w:r>
        <w:t>具体通信管道如下图</w:t>
      </w:r>
      <w:r>
        <w:rPr>
          <w:rFonts w:hint="eastAsia"/>
        </w:rPr>
        <w:t>。</w:t>
      </w:r>
    </w:p>
    <w:p>
      <w:pPr>
        <w:ind w:firstLine="480"/>
      </w:pPr>
      <w:r>
        <w:drawing>
          <wp:inline distT="0" distB="0" distL="0" distR="0">
            <wp:extent cx="4380865" cy="5170805"/>
            <wp:effectExtent l="0" t="0" r="635"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9"/>
                    <a:stretch>
                      <a:fillRect/>
                    </a:stretch>
                  </pic:blipFill>
                  <pic:spPr>
                    <a:xfrm>
                      <a:off x="0" y="0"/>
                      <a:ext cx="4380952" cy="5171429"/>
                    </a:xfrm>
                    <a:prstGeom prst="rect">
                      <a:avLst/>
                    </a:prstGeom>
                  </pic:spPr>
                </pic:pic>
              </a:graphicData>
            </a:graphic>
          </wp:inline>
        </w:drawing>
      </w:r>
    </w:p>
    <w:p>
      <w:pPr>
        <w:ind w:firstLine="480"/>
        <w:jc w:val="center"/>
      </w:pPr>
      <w:r>
        <w:t>图</w:t>
      </w:r>
      <w:r>
        <w:rPr>
          <w:rFonts w:hint="eastAsia"/>
        </w:rPr>
        <w:t>3</w:t>
      </w:r>
      <w:r>
        <w:t>.3</w:t>
      </w:r>
      <w:r>
        <w:rPr>
          <w:rFonts w:hint="eastAsia"/>
        </w:rPr>
        <w:t>通信管道</w:t>
      </w:r>
      <w:r>
        <w:t>图</w:t>
      </w:r>
    </w:p>
    <w:p>
      <w:pPr>
        <w:ind w:firstLine="480"/>
        <w:jc w:val="center"/>
      </w:pPr>
      <w:r>
        <w:t>表</w:t>
      </w:r>
      <w:r>
        <w:rPr>
          <w:rFonts w:hint="eastAsia"/>
        </w:rPr>
        <w:t>3</w:t>
      </w:r>
      <w:r>
        <w:t>.3通信管道现状统计表</w:t>
      </w:r>
    </w:p>
    <w:tbl>
      <w:tblPr>
        <w:tblStyle w:val="17"/>
        <w:tblW w:w="9072" w:type="dxa"/>
        <w:jc w:val="center"/>
        <w:tblLayout w:type="autofit"/>
        <w:tblCellMar>
          <w:top w:w="0" w:type="dxa"/>
          <w:left w:w="108" w:type="dxa"/>
          <w:bottom w:w="0" w:type="dxa"/>
          <w:right w:w="108" w:type="dxa"/>
        </w:tblCellMar>
      </w:tblPr>
      <w:tblGrid>
        <w:gridCol w:w="578"/>
        <w:gridCol w:w="1128"/>
        <w:gridCol w:w="1129"/>
        <w:gridCol w:w="1129"/>
        <w:gridCol w:w="1499"/>
        <w:gridCol w:w="760"/>
        <w:gridCol w:w="1535"/>
        <w:gridCol w:w="1314"/>
      </w:tblGrid>
      <w:tr>
        <w:tblPrEx>
          <w:tblCellMar>
            <w:top w:w="0" w:type="dxa"/>
            <w:left w:w="108" w:type="dxa"/>
            <w:bottom w:w="0" w:type="dxa"/>
            <w:right w:w="108" w:type="dxa"/>
          </w:tblCellMar>
        </w:tblPrEx>
        <w:trPr>
          <w:cantSplit/>
          <w:tblHeader/>
          <w:jc w:val="center"/>
        </w:trPr>
        <w:tc>
          <w:tcPr>
            <w:tcW w:w="31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pPr>
            <w:r>
              <w:rPr>
                <w:rFonts w:hint="eastAsia"/>
              </w:rPr>
              <w:t>序号</w:t>
            </w:r>
          </w:p>
        </w:tc>
        <w:tc>
          <w:tcPr>
            <w:tcW w:w="622"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路名</w:t>
            </w:r>
          </w:p>
        </w:tc>
        <w:tc>
          <w:tcPr>
            <w:tcW w:w="622"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起点</w:t>
            </w:r>
          </w:p>
        </w:tc>
        <w:tc>
          <w:tcPr>
            <w:tcW w:w="622"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终点</w:t>
            </w:r>
          </w:p>
        </w:tc>
        <w:tc>
          <w:tcPr>
            <w:tcW w:w="826"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长度（公里）</w:t>
            </w:r>
          </w:p>
        </w:tc>
        <w:tc>
          <w:tcPr>
            <w:tcW w:w="419"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管孔数</w:t>
            </w:r>
          </w:p>
        </w:tc>
        <w:tc>
          <w:tcPr>
            <w:tcW w:w="846"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管材类型</w:t>
            </w:r>
          </w:p>
        </w:tc>
        <w:tc>
          <w:tcPr>
            <w:tcW w:w="724" w:type="pct"/>
            <w:tcBorders>
              <w:top w:val="single" w:color="auto" w:sz="4" w:space="0"/>
              <w:left w:val="nil"/>
              <w:bottom w:val="single" w:color="auto" w:sz="4" w:space="0"/>
              <w:right w:val="single" w:color="auto" w:sz="4" w:space="0"/>
            </w:tcBorders>
            <w:shd w:val="clear" w:color="auto" w:fill="auto"/>
            <w:vAlign w:val="center"/>
          </w:tcPr>
          <w:p>
            <w:pPr>
              <w:pStyle w:val="30"/>
            </w:pPr>
            <w:r>
              <w:rPr>
                <w:rFonts w:hint="eastAsia"/>
              </w:rPr>
              <w:t>铺设方式</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1</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中印大道</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美安一纵路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次二路</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4.39</w:t>
            </w:r>
          </w:p>
        </w:tc>
        <w:tc>
          <w:tcPr>
            <w:tcW w:w="419" w:type="pct"/>
            <w:tcBorders>
              <w:top w:val="nil"/>
              <w:left w:val="nil"/>
              <w:bottom w:val="single" w:color="auto" w:sz="4" w:space="0"/>
              <w:right w:val="single" w:color="auto" w:sz="4" w:space="0"/>
            </w:tcBorders>
            <w:shd w:val="clear" w:color="auto" w:fill="auto"/>
            <w:vAlign w:val="center"/>
          </w:tcPr>
          <w:p>
            <w:pPr>
              <w:pStyle w:val="30"/>
            </w:pPr>
            <w:r>
              <w:t>15</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vAlign w:val="center"/>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2</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活力一路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西线高速</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1.31</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vAlign w:val="center"/>
          </w:tcPr>
          <w:p>
            <w:pPr>
              <w:pStyle w:val="30"/>
            </w:pPr>
            <w:r>
              <w:rPr>
                <w:rFonts w:hint="eastAsia"/>
              </w:rPr>
              <w:t>道路一侧</w:t>
            </w:r>
          </w:p>
        </w:tc>
      </w:tr>
      <w:tr>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3</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美安一纵路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西线高速</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1.34</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4</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美安环路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美安一纵路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0.79</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5</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蓝梦一路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海榆西线</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0.95</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15</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6</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活力二路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海榆西线</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7</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次一路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海榆西线</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1.38</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8</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主一路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海榆西线</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规划边界</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1.85</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r>
              <w:t>9</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支一路</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海榆西线</w:t>
            </w: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次九路</w:t>
            </w: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1.823</w:t>
            </w:r>
          </w:p>
        </w:tc>
        <w:tc>
          <w:tcPr>
            <w:tcW w:w="419" w:type="pct"/>
            <w:tcBorders>
              <w:top w:val="nil"/>
              <w:left w:val="nil"/>
              <w:bottom w:val="single" w:color="auto" w:sz="4" w:space="0"/>
              <w:right w:val="single" w:color="auto" w:sz="4" w:space="0"/>
            </w:tcBorders>
            <w:shd w:val="clear" w:color="auto" w:fill="auto"/>
            <w:vAlign w:val="center"/>
          </w:tcPr>
          <w:p>
            <w:pPr>
              <w:pStyle w:val="30"/>
            </w:pPr>
            <w:r>
              <w:rPr>
                <w:rFonts w:hint="eastAsia"/>
              </w:rPr>
              <w:t>12</w:t>
            </w:r>
          </w:p>
        </w:tc>
        <w:tc>
          <w:tcPr>
            <w:tcW w:w="846" w:type="pct"/>
            <w:tcBorders>
              <w:top w:val="nil"/>
              <w:left w:val="nil"/>
              <w:bottom w:val="single" w:color="auto" w:sz="4" w:space="0"/>
              <w:right w:val="single" w:color="auto" w:sz="4" w:space="0"/>
            </w:tcBorders>
            <w:shd w:val="clear" w:color="auto" w:fill="auto"/>
            <w:vAlign w:val="center"/>
          </w:tcPr>
          <w:p>
            <w:pPr>
              <w:pStyle w:val="30"/>
            </w:pPr>
            <w:r>
              <w:t>φ110</w:t>
            </w:r>
            <w:r>
              <w:rPr>
                <w:rFonts w:hint="eastAsia"/>
              </w:rPr>
              <w:t>PVC塑料管</w:t>
            </w:r>
          </w:p>
        </w:tc>
        <w:tc>
          <w:tcPr>
            <w:tcW w:w="724" w:type="pct"/>
            <w:tcBorders>
              <w:top w:val="nil"/>
              <w:left w:val="nil"/>
              <w:bottom w:val="single" w:color="auto" w:sz="4" w:space="0"/>
              <w:right w:val="single" w:color="auto" w:sz="4" w:space="0"/>
            </w:tcBorders>
            <w:shd w:val="clear" w:color="auto" w:fill="auto"/>
          </w:tcPr>
          <w:p>
            <w:pPr>
              <w:pStyle w:val="30"/>
            </w:pPr>
            <w:r>
              <w:rPr>
                <w:rFonts w:hint="eastAsia"/>
              </w:rPr>
              <w:t>道路一侧</w:t>
            </w:r>
          </w:p>
        </w:tc>
      </w:tr>
      <w:tr>
        <w:tblPrEx>
          <w:tblCellMar>
            <w:top w:w="0" w:type="dxa"/>
            <w:left w:w="108" w:type="dxa"/>
            <w:bottom w:w="0" w:type="dxa"/>
            <w:right w:w="108" w:type="dxa"/>
          </w:tblCellMar>
        </w:tblPrEx>
        <w:trPr>
          <w:cantSplit/>
          <w:tblHeader/>
          <w:jc w:val="center"/>
        </w:trPr>
        <w:tc>
          <w:tcPr>
            <w:tcW w:w="319" w:type="pct"/>
            <w:tcBorders>
              <w:top w:val="nil"/>
              <w:left w:val="single" w:color="auto" w:sz="4" w:space="0"/>
              <w:bottom w:val="single" w:color="auto" w:sz="4" w:space="0"/>
              <w:right w:val="single" w:color="auto" w:sz="4" w:space="0"/>
            </w:tcBorders>
            <w:shd w:val="clear" w:color="auto" w:fill="auto"/>
            <w:vAlign w:val="center"/>
          </w:tcPr>
          <w:p>
            <w:pPr>
              <w:pStyle w:val="30"/>
            </w:pPr>
          </w:p>
        </w:tc>
        <w:tc>
          <w:tcPr>
            <w:tcW w:w="622" w:type="pct"/>
            <w:tcBorders>
              <w:top w:val="nil"/>
              <w:left w:val="nil"/>
              <w:bottom w:val="single" w:color="auto" w:sz="4" w:space="0"/>
              <w:right w:val="single" w:color="auto" w:sz="4" w:space="0"/>
            </w:tcBorders>
            <w:shd w:val="clear" w:color="auto" w:fill="auto"/>
            <w:vAlign w:val="center"/>
          </w:tcPr>
          <w:p>
            <w:pPr>
              <w:pStyle w:val="30"/>
            </w:pPr>
            <w:r>
              <w:rPr>
                <w:rFonts w:hint="eastAsia"/>
              </w:rPr>
              <w:t>合计</w:t>
            </w:r>
          </w:p>
        </w:tc>
        <w:tc>
          <w:tcPr>
            <w:tcW w:w="622" w:type="pct"/>
            <w:tcBorders>
              <w:top w:val="nil"/>
              <w:left w:val="nil"/>
              <w:bottom w:val="single" w:color="auto" w:sz="4" w:space="0"/>
              <w:right w:val="single" w:color="auto" w:sz="4" w:space="0"/>
            </w:tcBorders>
            <w:shd w:val="clear" w:color="auto" w:fill="auto"/>
            <w:vAlign w:val="center"/>
          </w:tcPr>
          <w:p>
            <w:pPr>
              <w:pStyle w:val="30"/>
            </w:pPr>
          </w:p>
        </w:tc>
        <w:tc>
          <w:tcPr>
            <w:tcW w:w="622" w:type="pct"/>
            <w:tcBorders>
              <w:top w:val="nil"/>
              <w:left w:val="nil"/>
              <w:bottom w:val="single" w:color="auto" w:sz="4" w:space="0"/>
              <w:right w:val="single" w:color="auto" w:sz="4" w:space="0"/>
            </w:tcBorders>
            <w:shd w:val="clear" w:color="auto" w:fill="auto"/>
            <w:vAlign w:val="center"/>
          </w:tcPr>
          <w:p>
            <w:pPr>
              <w:pStyle w:val="30"/>
            </w:pPr>
          </w:p>
        </w:tc>
        <w:tc>
          <w:tcPr>
            <w:tcW w:w="826" w:type="pct"/>
            <w:tcBorders>
              <w:top w:val="nil"/>
              <w:left w:val="nil"/>
              <w:bottom w:val="single" w:color="auto" w:sz="4" w:space="0"/>
              <w:right w:val="single" w:color="auto" w:sz="4" w:space="0"/>
            </w:tcBorders>
            <w:shd w:val="clear" w:color="auto" w:fill="auto"/>
            <w:vAlign w:val="center"/>
          </w:tcPr>
          <w:p>
            <w:pPr>
              <w:pStyle w:val="30"/>
            </w:pPr>
            <w:r>
              <w:rPr>
                <w:rFonts w:hint="eastAsia"/>
              </w:rPr>
              <w:t>1</w:t>
            </w:r>
            <w:r>
              <w:t>4.8</w:t>
            </w:r>
            <w:r>
              <w:rPr>
                <w:rFonts w:hint="eastAsia"/>
              </w:rPr>
              <w:t>3</w:t>
            </w:r>
          </w:p>
        </w:tc>
        <w:tc>
          <w:tcPr>
            <w:tcW w:w="419" w:type="pct"/>
            <w:tcBorders>
              <w:top w:val="nil"/>
              <w:left w:val="nil"/>
              <w:bottom w:val="single" w:color="auto" w:sz="4" w:space="0"/>
              <w:right w:val="single" w:color="auto" w:sz="4" w:space="0"/>
            </w:tcBorders>
            <w:shd w:val="clear" w:color="auto" w:fill="auto"/>
            <w:vAlign w:val="center"/>
          </w:tcPr>
          <w:p>
            <w:pPr>
              <w:pStyle w:val="30"/>
            </w:pPr>
          </w:p>
        </w:tc>
        <w:tc>
          <w:tcPr>
            <w:tcW w:w="846" w:type="pct"/>
            <w:tcBorders>
              <w:top w:val="nil"/>
              <w:left w:val="nil"/>
              <w:bottom w:val="single" w:color="auto" w:sz="4" w:space="0"/>
              <w:right w:val="single" w:color="auto" w:sz="4" w:space="0"/>
            </w:tcBorders>
            <w:shd w:val="clear" w:color="auto" w:fill="auto"/>
            <w:vAlign w:val="center"/>
          </w:tcPr>
          <w:p>
            <w:pPr>
              <w:pStyle w:val="30"/>
            </w:pPr>
          </w:p>
        </w:tc>
        <w:tc>
          <w:tcPr>
            <w:tcW w:w="724" w:type="pct"/>
            <w:tcBorders>
              <w:top w:val="nil"/>
              <w:left w:val="nil"/>
              <w:bottom w:val="single" w:color="auto" w:sz="4" w:space="0"/>
              <w:right w:val="single" w:color="auto" w:sz="4" w:space="0"/>
            </w:tcBorders>
            <w:shd w:val="clear" w:color="auto" w:fill="auto"/>
            <w:vAlign w:val="center"/>
          </w:tcPr>
          <w:p>
            <w:pPr>
              <w:pStyle w:val="30"/>
            </w:pPr>
          </w:p>
        </w:tc>
      </w:tr>
    </w:tbl>
    <w:p>
      <w:pPr>
        <w:pStyle w:val="3"/>
        <w:numPr>
          <w:ilvl w:val="1"/>
          <w:numId w:val="4"/>
        </w:numPr>
        <w:spacing w:before="156" w:after="163"/>
      </w:pPr>
      <w:bookmarkStart w:id="158" w:name="_Toc642280068"/>
      <w:r>
        <w:rPr>
          <w:rFonts w:hint="eastAsia"/>
        </w:rPr>
        <w:t>通信光缆现状</w:t>
      </w:r>
      <w:bookmarkEnd w:id="158"/>
    </w:p>
    <w:p>
      <w:pPr>
        <w:ind w:firstLine="480"/>
      </w:pPr>
      <w:r>
        <w:t>目前起步区内</w:t>
      </w:r>
      <w:r>
        <w:rPr>
          <w:rFonts w:hint="eastAsia"/>
        </w:rPr>
        <w:t>，</w:t>
      </w:r>
      <w:r>
        <w:t>各运营商光缆资源较少</w:t>
      </w:r>
      <w:r>
        <w:rPr>
          <w:rFonts w:hint="eastAsia"/>
        </w:rPr>
        <w:t>，中国移动共</w:t>
      </w:r>
      <w:r>
        <w:t>4</w:t>
      </w:r>
      <w:r>
        <w:rPr>
          <w:rFonts w:hint="eastAsia"/>
        </w:rPr>
        <w:t>条光缆，中国电信共1条光缆，中国联通共3条光缆。</w:t>
      </w:r>
    </w:p>
    <w:p>
      <w:pPr>
        <w:ind w:firstLine="480"/>
        <w:jc w:val="center"/>
      </w:pPr>
      <w:r>
        <w:drawing>
          <wp:inline distT="0" distB="0" distL="0" distR="0">
            <wp:extent cx="3180715" cy="3437890"/>
            <wp:effectExtent l="0" t="0" r="635"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0"/>
                    <a:stretch>
                      <a:fillRect/>
                    </a:stretch>
                  </pic:blipFill>
                  <pic:spPr>
                    <a:xfrm>
                      <a:off x="0" y="0"/>
                      <a:ext cx="3180952" cy="3438095"/>
                    </a:xfrm>
                    <a:prstGeom prst="rect">
                      <a:avLst/>
                    </a:prstGeom>
                  </pic:spPr>
                </pic:pic>
              </a:graphicData>
            </a:graphic>
          </wp:inline>
        </w:drawing>
      </w:r>
    </w:p>
    <w:p>
      <w:pPr>
        <w:ind w:firstLine="480"/>
        <w:jc w:val="center"/>
      </w:pPr>
      <w:r>
        <w:t>图</w:t>
      </w:r>
      <w:r>
        <w:rPr>
          <w:rFonts w:hint="eastAsia"/>
        </w:rPr>
        <w:t>3</w:t>
      </w:r>
      <w:r>
        <w:t>.4 通信光缆现状图</w:t>
      </w:r>
    </w:p>
    <w:p>
      <w:pPr>
        <w:ind w:firstLine="480"/>
        <w:jc w:val="center"/>
      </w:pPr>
      <w:r>
        <w:t>表3.4 通信光缆现状表</w:t>
      </w:r>
    </w:p>
    <w:tbl>
      <w:tblPr>
        <w:tblStyle w:val="17"/>
        <w:tblW w:w="5895" w:type="pct"/>
        <w:tblInd w:w="-714"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727"/>
        <w:gridCol w:w="2474"/>
        <w:gridCol w:w="1783"/>
        <w:gridCol w:w="2004"/>
        <w:gridCol w:w="1021"/>
        <w:gridCol w:w="728"/>
        <w:gridCol w:w="7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运营商</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光缆名称</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起点</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终点</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长度(公里）</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芯数</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敷设方式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移动</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国际学校专线机房-教师俱乐部B1F运营商机房</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国际学校专线机房</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教师俱乐部B1F运营商机房</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0.315</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移动</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澄迈白莲美月村光交-澄迈智慧新城灯杆</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澄迈白莲美月村光交</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澄迈智慧新城灯杆</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移动</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国际学校机房-智慧新城未来学校体育培训楼</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国际学校专线机房</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智慧新城未来学校体育培训楼</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移动</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澄迈白莲美月村光交-国际学校专线机房</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澄迈白莲美月村光交</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国际学校专线机房</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96</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电信</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智慧新城学校引入光缆</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白莲接入网机房</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智慧新城学校</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联通</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白莲镇上光交-琼山美岭村站</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白莲镇上光交</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琼山美岭村站</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联通</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澄迈白莲基站-立达学园光交</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澄迈白莲基站</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立达学园光交</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4.9</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联通</w:t>
            </w:r>
          </w:p>
        </w:tc>
        <w:tc>
          <w:tcPr>
            <w:tcW w:w="1231"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琼山石山美傲-立达学园光交</w:t>
            </w:r>
          </w:p>
        </w:tc>
        <w:tc>
          <w:tcPr>
            <w:tcW w:w="88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琼山石山美傲</w:t>
            </w:r>
          </w:p>
        </w:tc>
        <w:tc>
          <w:tcPr>
            <w:tcW w:w="997"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立达学园光交</w:t>
            </w:r>
          </w:p>
        </w:tc>
        <w:tc>
          <w:tcPr>
            <w:tcW w:w="508"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362" w:type="pct"/>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直埋</w:t>
            </w:r>
          </w:p>
        </w:tc>
      </w:tr>
    </w:tbl>
    <w:p>
      <w:pPr>
        <w:pStyle w:val="2"/>
        <w:numPr>
          <w:ilvl w:val="0"/>
          <w:numId w:val="3"/>
        </w:numPr>
        <w:spacing w:before="326" w:after="326"/>
        <w:ind w:firstLineChars="0"/>
      </w:pPr>
      <w:bookmarkStart w:id="159" w:name="_Toc1651389984"/>
      <w:r>
        <w:rPr>
          <w:rFonts w:hint="eastAsia"/>
        </w:rPr>
        <w:t>规划思路与原则</w:t>
      </w:r>
      <w:bookmarkEnd w:id="159"/>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160" w:name="_Toc16196442"/>
      <w:bookmarkEnd w:id="160"/>
      <w:bookmarkStart w:id="161" w:name="_Toc16196534"/>
      <w:bookmarkEnd w:id="161"/>
      <w:bookmarkStart w:id="162" w:name="_Toc18422578"/>
      <w:bookmarkEnd w:id="162"/>
      <w:bookmarkStart w:id="163" w:name="_Toc16196350"/>
      <w:bookmarkEnd w:id="163"/>
      <w:bookmarkStart w:id="164" w:name="_Toc22076689"/>
      <w:bookmarkEnd w:id="164"/>
    </w:p>
    <w:p>
      <w:pPr>
        <w:pStyle w:val="3"/>
        <w:numPr>
          <w:ilvl w:val="1"/>
          <w:numId w:val="4"/>
        </w:numPr>
        <w:spacing w:before="156" w:after="163"/>
      </w:pPr>
      <w:bookmarkStart w:id="165" w:name="_Toc1407710820"/>
      <w:r>
        <w:rPr>
          <w:rFonts w:hint="eastAsia"/>
        </w:rPr>
        <w:t>无线网规划原则</w:t>
      </w:r>
      <w:bookmarkEnd w:id="165"/>
    </w:p>
    <w:p>
      <w:pPr>
        <w:pStyle w:val="25"/>
        <w:keepNext/>
        <w:keepLines/>
        <w:numPr>
          <w:ilvl w:val="0"/>
          <w:numId w:val="11"/>
        </w:numPr>
        <w:ind w:firstLineChars="0"/>
        <w:outlineLvl w:val="2"/>
        <w:rPr>
          <w:rFonts w:eastAsia="黑体"/>
          <w:bCs/>
          <w:vanish/>
          <w:sz w:val="28"/>
          <w:szCs w:val="32"/>
        </w:rPr>
      </w:pPr>
      <w:bookmarkStart w:id="166" w:name="_Toc16196352"/>
      <w:bookmarkEnd w:id="166"/>
      <w:bookmarkStart w:id="167" w:name="_Toc22076691"/>
      <w:bookmarkEnd w:id="167"/>
      <w:bookmarkStart w:id="168" w:name="_Toc18422580"/>
      <w:bookmarkEnd w:id="168"/>
      <w:bookmarkStart w:id="169" w:name="_Toc16196536"/>
      <w:bookmarkEnd w:id="169"/>
      <w:bookmarkStart w:id="170" w:name="_Toc16196444"/>
      <w:bookmarkEnd w:id="170"/>
    </w:p>
    <w:p>
      <w:pPr>
        <w:pStyle w:val="25"/>
        <w:keepNext/>
        <w:keepLines/>
        <w:numPr>
          <w:ilvl w:val="0"/>
          <w:numId w:val="11"/>
        </w:numPr>
        <w:ind w:firstLineChars="0"/>
        <w:outlineLvl w:val="2"/>
        <w:rPr>
          <w:rFonts w:eastAsia="黑体"/>
          <w:bCs/>
          <w:vanish/>
          <w:sz w:val="28"/>
          <w:szCs w:val="32"/>
        </w:rPr>
      </w:pPr>
      <w:bookmarkStart w:id="171" w:name="_Toc16196445"/>
      <w:bookmarkEnd w:id="171"/>
      <w:bookmarkStart w:id="172" w:name="_Toc18422581"/>
      <w:bookmarkEnd w:id="172"/>
      <w:bookmarkStart w:id="173" w:name="_Toc22076692"/>
      <w:bookmarkEnd w:id="173"/>
      <w:bookmarkStart w:id="174" w:name="_Toc16196537"/>
      <w:bookmarkEnd w:id="174"/>
      <w:bookmarkStart w:id="175" w:name="_Toc16196353"/>
      <w:bookmarkEnd w:id="175"/>
    </w:p>
    <w:p>
      <w:pPr>
        <w:pStyle w:val="25"/>
        <w:keepNext/>
        <w:keepLines/>
        <w:numPr>
          <w:ilvl w:val="1"/>
          <w:numId w:val="11"/>
        </w:numPr>
        <w:ind w:firstLineChars="0"/>
        <w:outlineLvl w:val="2"/>
        <w:rPr>
          <w:rFonts w:eastAsia="黑体"/>
          <w:bCs/>
          <w:vanish/>
          <w:sz w:val="28"/>
          <w:szCs w:val="32"/>
        </w:rPr>
      </w:pPr>
      <w:bookmarkStart w:id="176" w:name="_Toc22076693"/>
      <w:bookmarkEnd w:id="176"/>
      <w:bookmarkStart w:id="177" w:name="_Toc18422582"/>
      <w:bookmarkEnd w:id="177"/>
      <w:bookmarkStart w:id="178" w:name="_Toc16196446"/>
      <w:bookmarkEnd w:id="178"/>
      <w:bookmarkStart w:id="179" w:name="_Toc16196538"/>
      <w:bookmarkEnd w:id="179"/>
      <w:bookmarkStart w:id="180" w:name="_Toc16196354"/>
      <w:bookmarkEnd w:id="180"/>
    </w:p>
    <w:p>
      <w:pPr>
        <w:pStyle w:val="25"/>
        <w:keepNext/>
        <w:keepLines/>
        <w:numPr>
          <w:ilvl w:val="0"/>
          <w:numId w:val="8"/>
        </w:numPr>
        <w:ind w:firstLineChars="0"/>
        <w:outlineLvl w:val="2"/>
        <w:rPr>
          <w:rFonts w:eastAsia="黑体"/>
          <w:bCs/>
          <w:vanish/>
          <w:sz w:val="28"/>
          <w:szCs w:val="32"/>
        </w:rPr>
      </w:pPr>
      <w:bookmarkStart w:id="181" w:name="_Toc18422583"/>
      <w:bookmarkEnd w:id="181"/>
      <w:bookmarkStart w:id="182" w:name="_Toc16196447"/>
      <w:bookmarkEnd w:id="182"/>
      <w:bookmarkStart w:id="183" w:name="_Toc16196355"/>
      <w:bookmarkEnd w:id="183"/>
      <w:bookmarkStart w:id="184" w:name="_Toc16196539"/>
      <w:bookmarkEnd w:id="184"/>
      <w:bookmarkStart w:id="185" w:name="_Toc22076694"/>
      <w:bookmarkEnd w:id="185"/>
    </w:p>
    <w:p>
      <w:pPr>
        <w:pStyle w:val="25"/>
        <w:keepNext/>
        <w:keepLines/>
        <w:numPr>
          <w:ilvl w:val="1"/>
          <w:numId w:val="8"/>
        </w:numPr>
        <w:ind w:firstLineChars="0"/>
        <w:outlineLvl w:val="2"/>
        <w:rPr>
          <w:rFonts w:eastAsia="黑体"/>
          <w:bCs/>
          <w:vanish/>
          <w:sz w:val="28"/>
          <w:szCs w:val="32"/>
        </w:rPr>
      </w:pPr>
      <w:bookmarkStart w:id="186" w:name="_Toc18422584"/>
      <w:bookmarkEnd w:id="186"/>
      <w:bookmarkStart w:id="187" w:name="_Toc22076695"/>
      <w:bookmarkEnd w:id="187"/>
    </w:p>
    <w:p>
      <w:pPr>
        <w:pStyle w:val="4"/>
        <w:numPr>
          <w:ilvl w:val="2"/>
          <w:numId w:val="8"/>
        </w:numPr>
        <w:ind w:firstLineChars="0"/>
      </w:pPr>
      <w:bookmarkStart w:id="188" w:name="_Toc529139312"/>
      <w:r>
        <w:rPr>
          <w:rFonts w:hint="eastAsia"/>
        </w:rPr>
        <w:t>基站选址原则</w:t>
      </w:r>
      <w:bookmarkEnd w:id="188"/>
    </w:p>
    <w:p>
      <w:pPr>
        <w:pStyle w:val="25"/>
        <w:numPr>
          <w:ilvl w:val="0"/>
          <w:numId w:val="12"/>
        </w:numPr>
        <w:ind w:left="0" w:firstLine="480"/>
      </w:pPr>
      <w:r>
        <w:t>无线覆盖要求：应充分考虑基站的有效覆盖范围，结合用户和业务的分布情况，合理选择站址，实现目标区域的有效覆盖。</w:t>
      </w:r>
    </w:p>
    <w:p>
      <w:pPr>
        <w:pStyle w:val="25"/>
        <w:numPr>
          <w:ilvl w:val="0"/>
          <w:numId w:val="12"/>
        </w:numPr>
        <w:ind w:left="0" w:firstLine="480"/>
      </w:pPr>
      <w:r>
        <w:t>站址布局与天线挂高要求：站址应尽可能平均分布，天线高度满足覆盖需要，并与周边站点基本保持一致。严格控制超高站（站高大于50m或高于周边建筑物15m）、超低站（站高低于15m）、超近站（站间距小于100m）、阻挡站，扇区正对方向50米内有明显障碍物。</w:t>
      </w:r>
    </w:p>
    <w:p>
      <w:pPr>
        <w:pStyle w:val="25"/>
        <w:numPr>
          <w:ilvl w:val="0"/>
          <w:numId w:val="12"/>
        </w:numPr>
        <w:ind w:left="0" w:firstLine="480"/>
      </w:pPr>
      <w:r>
        <w:t>地理位置要求：应考虑建设维护方便，选择安全、卫生、无强干扰的站址。避开临时建筑、烂尾楼，以及军事禁区等敏感区，审慎选择在医院、学校、银行等区域设站。</w:t>
      </w:r>
    </w:p>
    <w:p>
      <w:pPr>
        <w:pStyle w:val="25"/>
        <w:numPr>
          <w:ilvl w:val="0"/>
          <w:numId w:val="12"/>
        </w:numPr>
        <w:ind w:left="0" w:firstLine="480"/>
      </w:pPr>
      <w:r>
        <w:t>环境保护要求：应节约用地，不占或少占农田。站址选址须符合环境保护和电磁辐射防护规定的有关指标要求。</w:t>
      </w:r>
    </w:p>
    <w:p>
      <w:pPr>
        <w:pStyle w:val="25"/>
        <w:numPr>
          <w:ilvl w:val="0"/>
          <w:numId w:val="12"/>
        </w:numPr>
        <w:ind w:left="0" w:firstLine="480"/>
      </w:pPr>
      <w:r>
        <w:t>造价控制要求：新增站址附近应有可靠电力供应；楼面站址宜选择建筑年代较近（2002年以后），有正规设计，承重较好的建筑；地面站址应选取征地及赔补费用相对较低的区域。</w:t>
      </w:r>
    </w:p>
    <w:p>
      <w:pPr>
        <w:pStyle w:val="25"/>
        <w:numPr>
          <w:ilvl w:val="0"/>
          <w:numId w:val="12"/>
        </w:numPr>
        <w:ind w:left="0" w:firstLine="480"/>
      </w:pPr>
      <w:r>
        <w:t xml:space="preserve">安全性要求：站址应远离树林、高压线。必须设在高压线附近时，与高压线之间的距离应不低于100m。站址设置在公共基础设施附近时，应满足与公共基础设施的最小安全距离，如下表所示： </w:t>
      </w:r>
    </w:p>
    <w:p>
      <w:pPr>
        <w:pStyle w:val="4"/>
        <w:numPr>
          <w:ilvl w:val="2"/>
          <w:numId w:val="8"/>
        </w:numPr>
        <w:ind w:firstLineChars="0"/>
      </w:pPr>
      <w:bookmarkStart w:id="189" w:name="_Toc861309188"/>
      <w:r>
        <w:rPr>
          <w:rFonts w:hint="eastAsia"/>
        </w:rPr>
        <w:t>站间距要求</w:t>
      </w:r>
      <w:bookmarkEnd w:id="189"/>
    </w:p>
    <w:p>
      <w:pPr>
        <w:ind w:firstLine="480"/>
      </w:pPr>
      <w:r>
        <w:t>站址设置须全面考虑无线环境、业务发展和建站条件等方面因素。受社会经济条件、网络建设积累、站址获取难度等影响，各地市站址间距水平并非完全一致，规划过程中应结合当地实际情况分析取定。根据各电信企业不同网络覆盖要求和现网结构分析，各种场景下站间距参考值如下表所示。</w:t>
      </w:r>
    </w:p>
    <w:p>
      <w:pPr>
        <w:ind w:firstLine="480"/>
        <w:jc w:val="center"/>
      </w:pPr>
      <w:r>
        <w:t>表</w:t>
      </w:r>
      <w:r>
        <w:rPr>
          <w:rFonts w:hint="eastAsia"/>
        </w:rPr>
        <w:t>5</w:t>
      </w:r>
      <w:r>
        <w:t>.1.2 各电信企业不同制式网络站间距参考表</w:t>
      </w:r>
    </w:p>
    <w:tbl>
      <w:tblPr>
        <w:tblStyle w:val="17"/>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6"/>
        <w:gridCol w:w="1199"/>
        <w:gridCol w:w="1317"/>
        <w:gridCol w:w="1478"/>
        <w:gridCol w:w="1478"/>
        <w:gridCol w:w="153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02" w:type="pct"/>
            <w:shd w:val="clear" w:color="auto" w:fill="auto"/>
            <w:noWrap/>
            <w:vAlign w:val="center"/>
          </w:tcPr>
          <w:p>
            <w:pPr>
              <w:pStyle w:val="38"/>
              <w:rPr>
                <w:rFonts w:cs="Times New Roman"/>
              </w:rPr>
            </w:pPr>
            <w:r>
              <w:rPr>
                <w:rFonts w:cs="Times New Roman"/>
              </w:rPr>
              <w:t>电信企业</w:t>
            </w:r>
          </w:p>
        </w:tc>
        <w:tc>
          <w:tcPr>
            <w:tcW w:w="641" w:type="pct"/>
            <w:vAlign w:val="center"/>
          </w:tcPr>
          <w:p>
            <w:pPr>
              <w:pStyle w:val="38"/>
              <w:rPr>
                <w:rFonts w:cs="Times New Roman"/>
              </w:rPr>
            </w:pPr>
            <w:r>
              <w:rPr>
                <w:rFonts w:cs="Times New Roman"/>
              </w:rPr>
              <w:t>系统制式</w:t>
            </w:r>
          </w:p>
        </w:tc>
        <w:tc>
          <w:tcPr>
            <w:tcW w:w="704" w:type="pct"/>
            <w:vAlign w:val="center"/>
          </w:tcPr>
          <w:p>
            <w:pPr>
              <w:pStyle w:val="38"/>
              <w:rPr>
                <w:rFonts w:cs="Times New Roman"/>
              </w:rPr>
            </w:pPr>
            <w:r>
              <w:rPr>
                <w:rFonts w:cs="Times New Roman"/>
              </w:rPr>
              <w:t>工作频段</w:t>
            </w:r>
          </w:p>
        </w:tc>
        <w:tc>
          <w:tcPr>
            <w:tcW w:w="790" w:type="pct"/>
            <w:shd w:val="clear" w:color="auto" w:fill="auto"/>
            <w:noWrap/>
            <w:vAlign w:val="center"/>
          </w:tcPr>
          <w:p>
            <w:pPr>
              <w:pStyle w:val="38"/>
              <w:rPr>
                <w:rFonts w:cs="Times New Roman"/>
              </w:rPr>
            </w:pPr>
            <w:r>
              <w:rPr>
                <w:rFonts w:cs="Times New Roman"/>
              </w:rPr>
              <w:t>密集城区（m）</w:t>
            </w:r>
          </w:p>
        </w:tc>
        <w:tc>
          <w:tcPr>
            <w:tcW w:w="790" w:type="pct"/>
            <w:shd w:val="clear" w:color="auto" w:fill="auto"/>
            <w:noWrap/>
            <w:vAlign w:val="center"/>
          </w:tcPr>
          <w:p>
            <w:pPr>
              <w:pStyle w:val="38"/>
              <w:rPr>
                <w:rFonts w:cs="Times New Roman"/>
              </w:rPr>
            </w:pPr>
            <w:r>
              <w:rPr>
                <w:rFonts w:cs="Times New Roman"/>
              </w:rPr>
              <w:t>一般城区（m）</w:t>
            </w:r>
          </w:p>
        </w:tc>
        <w:tc>
          <w:tcPr>
            <w:tcW w:w="822" w:type="pct"/>
            <w:shd w:val="clear" w:color="auto" w:fill="auto"/>
            <w:noWrap/>
            <w:vAlign w:val="center"/>
          </w:tcPr>
          <w:p>
            <w:pPr>
              <w:pStyle w:val="38"/>
              <w:rPr>
                <w:rFonts w:cs="Times New Roman"/>
              </w:rPr>
            </w:pPr>
            <w:r>
              <w:rPr>
                <w:rFonts w:cs="Times New Roman"/>
              </w:rPr>
              <w:t>郊区/县城（m）</w:t>
            </w:r>
          </w:p>
        </w:tc>
        <w:tc>
          <w:tcPr>
            <w:tcW w:w="651" w:type="pct"/>
            <w:shd w:val="clear" w:color="auto" w:fill="auto"/>
            <w:noWrap/>
            <w:vAlign w:val="center"/>
          </w:tcPr>
          <w:p>
            <w:pPr>
              <w:pStyle w:val="38"/>
              <w:rPr>
                <w:rFonts w:cs="Times New Roman"/>
              </w:rPr>
            </w:pPr>
            <w:r>
              <w:rPr>
                <w:rFonts w:cs="Times New Roman"/>
              </w:rPr>
              <w:t>农村（m）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restart"/>
            <w:shd w:val="clear" w:color="auto" w:fill="auto"/>
            <w:noWrap/>
            <w:vAlign w:val="center"/>
          </w:tcPr>
          <w:p>
            <w:pPr>
              <w:pStyle w:val="38"/>
              <w:rPr>
                <w:rFonts w:cs="Times New Roman"/>
              </w:rPr>
            </w:pPr>
            <w:r>
              <w:rPr>
                <w:rFonts w:cs="Times New Roman"/>
              </w:rPr>
              <w:t>中国移动</w:t>
            </w:r>
          </w:p>
        </w:tc>
        <w:tc>
          <w:tcPr>
            <w:tcW w:w="641" w:type="pct"/>
            <w:vMerge w:val="restart"/>
            <w:vAlign w:val="center"/>
          </w:tcPr>
          <w:p>
            <w:pPr>
              <w:pStyle w:val="38"/>
              <w:rPr>
                <w:rFonts w:cs="Times New Roman"/>
              </w:rPr>
            </w:pPr>
            <w:r>
              <w:rPr>
                <w:rFonts w:cs="Times New Roman"/>
              </w:rPr>
              <w:t>TD-LTE</w:t>
            </w:r>
          </w:p>
        </w:tc>
        <w:tc>
          <w:tcPr>
            <w:tcW w:w="704" w:type="pct"/>
            <w:vAlign w:val="center"/>
          </w:tcPr>
          <w:p>
            <w:pPr>
              <w:pStyle w:val="38"/>
              <w:rPr>
                <w:rFonts w:cs="Times New Roman"/>
              </w:rPr>
            </w:pPr>
            <w:r>
              <w:rPr>
                <w:rFonts w:cs="Times New Roman"/>
              </w:rPr>
              <w:t>1.9GHz</w:t>
            </w:r>
          </w:p>
          <w:p>
            <w:pPr>
              <w:pStyle w:val="38"/>
              <w:rPr>
                <w:rFonts w:cs="Times New Roman"/>
              </w:rPr>
            </w:pPr>
            <w:r>
              <w:rPr>
                <w:rFonts w:cs="Times New Roman"/>
              </w:rPr>
              <w:t>（F频段）</w:t>
            </w:r>
          </w:p>
        </w:tc>
        <w:tc>
          <w:tcPr>
            <w:tcW w:w="790" w:type="pct"/>
            <w:shd w:val="clear" w:color="auto" w:fill="auto"/>
            <w:noWrap/>
            <w:vAlign w:val="center"/>
          </w:tcPr>
          <w:p>
            <w:pPr>
              <w:pStyle w:val="38"/>
              <w:rPr>
                <w:rFonts w:cs="Times New Roman"/>
              </w:rPr>
            </w:pPr>
            <w:r>
              <w:rPr>
                <w:rFonts w:cs="Times New Roman"/>
              </w:rPr>
              <w:t>300~400</w:t>
            </w:r>
          </w:p>
        </w:tc>
        <w:tc>
          <w:tcPr>
            <w:tcW w:w="790" w:type="pct"/>
            <w:shd w:val="clear" w:color="auto" w:fill="auto"/>
            <w:noWrap/>
            <w:vAlign w:val="center"/>
          </w:tcPr>
          <w:p>
            <w:pPr>
              <w:pStyle w:val="38"/>
              <w:rPr>
                <w:rFonts w:cs="Times New Roman"/>
              </w:rPr>
            </w:pPr>
            <w:r>
              <w:rPr>
                <w:rFonts w:cs="Times New Roman"/>
              </w:rPr>
              <w:t>400~500</w:t>
            </w:r>
          </w:p>
        </w:tc>
        <w:tc>
          <w:tcPr>
            <w:tcW w:w="822" w:type="pct"/>
            <w:shd w:val="clear" w:color="auto" w:fill="auto"/>
            <w:noWrap/>
            <w:vAlign w:val="center"/>
          </w:tcPr>
          <w:p>
            <w:pPr>
              <w:pStyle w:val="38"/>
              <w:rPr>
                <w:rFonts w:cs="Times New Roman"/>
              </w:rPr>
            </w:pPr>
            <w:r>
              <w:rPr>
                <w:rFonts w:cs="Times New Roman"/>
              </w:rPr>
              <w:t>500~800</w:t>
            </w:r>
          </w:p>
        </w:tc>
        <w:tc>
          <w:tcPr>
            <w:tcW w:w="651" w:type="pct"/>
            <w:shd w:val="clear" w:color="auto" w:fill="auto"/>
            <w:noWrap/>
            <w:vAlign w:val="center"/>
          </w:tcPr>
          <w:p>
            <w:pPr>
              <w:pStyle w:val="38"/>
              <w:rPr>
                <w:rFonts w:cs="Times New Roman"/>
              </w:rPr>
            </w:pPr>
            <w:r>
              <w:rPr>
                <w:rFonts w:cs="Times New Roman"/>
              </w:rPr>
              <w:t>800~2000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continue"/>
            <w:shd w:val="clear" w:color="auto" w:fill="auto"/>
            <w:noWrap/>
            <w:vAlign w:val="center"/>
          </w:tcPr>
          <w:p>
            <w:pPr>
              <w:pStyle w:val="38"/>
              <w:rPr>
                <w:rFonts w:cs="Times New Roman"/>
              </w:rPr>
            </w:pPr>
          </w:p>
        </w:tc>
        <w:tc>
          <w:tcPr>
            <w:tcW w:w="641" w:type="pct"/>
            <w:vMerge w:val="continue"/>
            <w:vAlign w:val="center"/>
          </w:tcPr>
          <w:p>
            <w:pPr>
              <w:pStyle w:val="38"/>
              <w:rPr>
                <w:rFonts w:cs="Times New Roman"/>
              </w:rPr>
            </w:pPr>
          </w:p>
        </w:tc>
        <w:tc>
          <w:tcPr>
            <w:tcW w:w="704" w:type="pct"/>
            <w:vAlign w:val="center"/>
          </w:tcPr>
          <w:p>
            <w:pPr>
              <w:pStyle w:val="38"/>
              <w:rPr>
                <w:rFonts w:cs="Times New Roman"/>
              </w:rPr>
            </w:pPr>
            <w:r>
              <w:rPr>
                <w:rFonts w:cs="Times New Roman"/>
              </w:rPr>
              <w:t>2.6GHz</w:t>
            </w:r>
          </w:p>
          <w:p>
            <w:pPr>
              <w:pStyle w:val="38"/>
              <w:rPr>
                <w:rFonts w:cs="Times New Roman"/>
              </w:rPr>
            </w:pPr>
            <w:r>
              <w:rPr>
                <w:rFonts w:cs="Times New Roman"/>
              </w:rPr>
              <w:t>（D频段）</w:t>
            </w:r>
          </w:p>
        </w:tc>
        <w:tc>
          <w:tcPr>
            <w:tcW w:w="790" w:type="pct"/>
            <w:shd w:val="clear" w:color="auto" w:fill="auto"/>
            <w:noWrap/>
            <w:vAlign w:val="center"/>
          </w:tcPr>
          <w:p>
            <w:pPr>
              <w:pStyle w:val="38"/>
              <w:rPr>
                <w:rFonts w:cs="Times New Roman"/>
              </w:rPr>
            </w:pPr>
            <w:r>
              <w:rPr>
                <w:rFonts w:cs="Times New Roman"/>
              </w:rPr>
              <w:t>250~350</w:t>
            </w:r>
          </w:p>
        </w:tc>
        <w:tc>
          <w:tcPr>
            <w:tcW w:w="790" w:type="pct"/>
            <w:shd w:val="clear" w:color="auto" w:fill="auto"/>
            <w:noWrap/>
            <w:vAlign w:val="center"/>
          </w:tcPr>
          <w:p>
            <w:pPr>
              <w:pStyle w:val="38"/>
              <w:rPr>
                <w:rFonts w:cs="Times New Roman"/>
              </w:rPr>
            </w:pPr>
            <w:r>
              <w:rPr>
                <w:rFonts w:cs="Times New Roman"/>
              </w:rPr>
              <w:t>350~450</w:t>
            </w:r>
          </w:p>
        </w:tc>
        <w:tc>
          <w:tcPr>
            <w:tcW w:w="822" w:type="pct"/>
            <w:shd w:val="clear" w:color="auto" w:fill="auto"/>
            <w:noWrap/>
            <w:vAlign w:val="center"/>
          </w:tcPr>
          <w:p>
            <w:pPr>
              <w:pStyle w:val="38"/>
              <w:rPr>
                <w:rFonts w:cs="Times New Roman"/>
              </w:rPr>
            </w:pPr>
            <w:r>
              <w:rPr>
                <w:rFonts w:cs="Times New Roman"/>
              </w:rPr>
              <w:t>450~700</w:t>
            </w:r>
          </w:p>
        </w:tc>
        <w:tc>
          <w:tcPr>
            <w:tcW w:w="651" w:type="pct"/>
            <w:shd w:val="clear" w:color="auto" w:fill="auto"/>
            <w:noWrap/>
            <w:vAlign w:val="center"/>
          </w:tcPr>
          <w:p>
            <w:pPr>
              <w:pStyle w:val="38"/>
              <w:rPr>
                <w:rFonts w:cs="Times New Roman"/>
              </w:rPr>
            </w:pPr>
            <w:r>
              <w:rPr>
                <w:rFonts w:cs="Times New Roman"/>
              </w:rPr>
              <w:t>700~2000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restart"/>
            <w:shd w:val="clear" w:color="auto" w:fill="auto"/>
            <w:noWrap/>
            <w:vAlign w:val="center"/>
          </w:tcPr>
          <w:p>
            <w:pPr>
              <w:pStyle w:val="38"/>
              <w:rPr>
                <w:rFonts w:cs="Times New Roman"/>
              </w:rPr>
            </w:pPr>
            <w:r>
              <w:rPr>
                <w:rFonts w:cs="Times New Roman"/>
              </w:rPr>
              <w:t>中国电信</w:t>
            </w:r>
          </w:p>
        </w:tc>
        <w:tc>
          <w:tcPr>
            <w:tcW w:w="641" w:type="pct"/>
            <w:vMerge w:val="restart"/>
            <w:vAlign w:val="center"/>
          </w:tcPr>
          <w:p>
            <w:pPr>
              <w:pStyle w:val="38"/>
              <w:rPr>
                <w:rFonts w:cs="Times New Roman"/>
              </w:rPr>
            </w:pPr>
            <w:r>
              <w:rPr>
                <w:rFonts w:cs="Times New Roman"/>
              </w:rPr>
              <w:t>LTE FDD</w:t>
            </w:r>
          </w:p>
        </w:tc>
        <w:tc>
          <w:tcPr>
            <w:tcW w:w="704" w:type="pct"/>
            <w:vAlign w:val="center"/>
          </w:tcPr>
          <w:p>
            <w:pPr>
              <w:pStyle w:val="38"/>
              <w:rPr>
                <w:rFonts w:cs="Times New Roman"/>
              </w:rPr>
            </w:pPr>
            <w:r>
              <w:rPr>
                <w:rFonts w:hint="eastAsia" w:cs="Times New Roman"/>
              </w:rPr>
              <w:t>8</w:t>
            </w:r>
            <w:r>
              <w:rPr>
                <w:rFonts w:cs="Times New Roman"/>
              </w:rPr>
              <w:t>00M</w:t>
            </w:r>
          </w:p>
        </w:tc>
        <w:tc>
          <w:tcPr>
            <w:tcW w:w="790" w:type="pct"/>
            <w:shd w:val="clear" w:color="auto" w:fill="auto"/>
            <w:noWrap/>
            <w:vAlign w:val="center"/>
          </w:tcPr>
          <w:p>
            <w:pPr>
              <w:pStyle w:val="38"/>
              <w:rPr>
                <w:rFonts w:cs="Times New Roman"/>
              </w:rPr>
            </w:pPr>
            <w:r>
              <w:rPr>
                <w:rFonts w:hint="eastAsia" w:cs="Times New Roman"/>
              </w:rPr>
              <w:t>6</w:t>
            </w:r>
            <w:r>
              <w:rPr>
                <w:rFonts w:cs="Times New Roman"/>
              </w:rPr>
              <w:t>00</w:t>
            </w:r>
            <w:r>
              <w:rPr>
                <w:rFonts w:hint="eastAsia" w:cs="Times New Roman"/>
              </w:rPr>
              <w:t>-</w:t>
            </w:r>
            <w:r>
              <w:rPr>
                <w:rFonts w:cs="Times New Roman"/>
              </w:rPr>
              <w:t>800</w:t>
            </w:r>
          </w:p>
        </w:tc>
        <w:tc>
          <w:tcPr>
            <w:tcW w:w="790" w:type="pct"/>
            <w:shd w:val="clear" w:color="auto" w:fill="auto"/>
            <w:noWrap/>
            <w:vAlign w:val="center"/>
          </w:tcPr>
          <w:p>
            <w:pPr>
              <w:pStyle w:val="38"/>
              <w:rPr>
                <w:rFonts w:cs="Times New Roman"/>
              </w:rPr>
            </w:pPr>
            <w:r>
              <w:rPr>
                <w:rFonts w:hint="eastAsia" w:cs="Times New Roman"/>
              </w:rPr>
              <w:t>8</w:t>
            </w:r>
            <w:r>
              <w:rPr>
                <w:rFonts w:cs="Times New Roman"/>
              </w:rPr>
              <w:t>00</w:t>
            </w:r>
            <w:r>
              <w:rPr>
                <w:rFonts w:hint="eastAsia" w:cs="Times New Roman"/>
              </w:rPr>
              <w:t>-</w:t>
            </w:r>
            <w:r>
              <w:rPr>
                <w:rFonts w:cs="Times New Roman"/>
              </w:rPr>
              <w:t>1000</w:t>
            </w:r>
          </w:p>
        </w:tc>
        <w:tc>
          <w:tcPr>
            <w:tcW w:w="822" w:type="pct"/>
            <w:shd w:val="clear" w:color="auto" w:fill="auto"/>
            <w:noWrap/>
            <w:vAlign w:val="center"/>
          </w:tcPr>
          <w:p>
            <w:pPr>
              <w:pStyle w:val="38"/>
              <w:rPr>
                <w:rFonts w:cs="Times New Roman"/>
              </w:rPr>
            </w:pPr>
            <w:r>
              <w:rPr>
                <w:rFonts w:hint="eastAsia" w:cs="Times New Roman"/>
              </w:rPr>
              <w:t>1</w:t>
            </w:r>
            <w:r>
              <w:rPr>
                <w:rFonts w:cs="Times New Roman"/>
              </w:rPr>
              <w:t>000</w:t>
            </w:r>
            <w:r>
              <w:rPr>
                <w:rFonts w:hint="eastAsia" w:cs="Times New Roman"/>
              </w:rPr>
              <w:t>-</w:t>
            </w:r>
            <w:r>
              <w:rPr>
                <w:rFonts w:cs="Times New Roman"/>
              </w:rPr>
              <w:t>1500</w:t>
            </w:r>
          </w:p>
        </w:tc>
        <w:tc>
          <w:tcPr>
            <w:tcW w:w="651" w:type="pct"/>
            <w:shd w:val="clear" w:color="auto" w:fill="auto"/>
            <w:noWrap/>
            <w:vAlign w:val="center"/>
          </w:tcPr>
          <w:p>
            <w:pPr>
              <w:pStyle w:val="38"/>
              <w:rPr>
                <w:rFonts w:cs="Times New Roman"/>
              </w:rPr>
            </w:pPr>
            <w:r>
              <w:rPr>
                <w:rFonts w:hint="eastAsia" w:cs="Times New Roman"/>
              </w:rPr>
              <w:t>1</w:t>
            </w:r>
            <w:r>
              <w:rPr>
                <w:rFonts w:cs="Times New Roman"/>
              </w:rPr>
              <w:t>500</w:t>
            </w:r>
            <w:r>
              <w:rPr>
                <w:rFonts w:hint="eastAsia" w:cs="Times New Roman"/>
              </w:rPr>
              <w:t>-</w:t>
            </w:r>
            <w:r>
              <w:rPr>
                <w:rFonts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continue"/>
            <w:shd w:val="clear" w:color="auto" w:fill="auto"/>
            <w:noWrap/>
            <w:vAlign w:val="center"/>
          </w:tcPr>
          <w:p>
            <w:pPr>
              <w:pStyle w:val="38"/>
              <w:rPr>
                <w:rFonts w:cs="Times New Roman"/>
              </w:rPr>
            </w:pPr>
          </w:p>
        </w:tc>
        <w:tc>
          <w:tcPr>
            <w:tcW w:w="641" w:type="pct"/>
            <w:vMerge w:val="continue"/>
            <w:vAlign w:val="center"/>
          </w:tcPr>
          <w:p>
            <w:pPr>
              <w:pStyle w:val="38"/>
              <w:rPr>
                <w:rFonts w:cs="Times New Roman"/>
              </w:rPr>
            </w:pPr>
          </w:p>
        </w:tc>
        <w:tc>
          <w:tcPr>
            <w:tcW w:w="704" w:type="pct"/>
            <w:vAlign w:val="center"/>
          </w:tcPr>
          <w:p>
            <w:pPr>
              <w:pStyle w:val="38"/>
              <w:rPr>
                <w:rFonts w:cs="Times New Roman"/>
              </w:rPr>
            </w:pPr>
            <w:r>
              <w:rPr>
                <w:rFonts w:cs="Times New Roman"/>
              </w:rPr>
              <w:t>1.8GHz</w:t>
            </w:r>
          </w:p>
        </w:tc>
        <w:tc>
          <w:tcPr>
            <w:tcW w:w="790" w:type="pct"/>
            <w:shd w:val="clear" w:color="auto" w:fill="auto"/>
            <w:noWrap/>
            <w:vAlign w:val="center"/>
          </w:tcPr>
          <w:p>
            <w:pPr>
              <w:pStyle w:val="38"/>
              <w:rPr>
                <w:rFonts w:cs="Times New Roman"/>
              </w:rPr>
            </w:pPr>
            <w:r>
              <w:rPr>
                <w:rFonts w:cs="Times New Roman"/>
              </w:rPr>
              <w:t>350~450</w:t>
            </w:r>
          </w:p>
        </w:tc>
        <w:tc>
          <w:tcPr>
            <w:tcW w:w="790" w:type="pct"/>
            <w:shd w:val="clear" w:color="auto" w:fill="auto"/>
            <w:noWrap/>
            <w:vAlign w:val="center"/>
          </w:tcPr>
          <w:p>
            <w:pPr>
              <w:pStyle w:val="38"/>
              <w:rPr>
                <w:rFonts w:cs="Times New Roman"/>
              </w:rPr>
            </w:pPr>
            <w:r>
              <w:rPr>
                <w:rFonts w:cs="Times New Roman"/>
              </w:rPr>
              <w:t>450~600</w:t>
            </w:r>
          </w:p>
        </w:tc>
        <w:tc>
          <w:tcPr>
            <w:tcW w:w="822" w:type="pct"/>
            <w:shd w:val="clear" w:color="auto" w:fill="auto"/>
            <w:noWrap/>
            <w:vAlign w:val="center"/>
          </w:tcPr>
          <w:p>
            <w:pPr>
              <w:pStyle w:val="38"/>
              <w:rPr>
                <w:rFonts w:cs="Times New Roman"/>
              </w:rPr>
            </w:pPr>
            <w:r>
              <w:rPr>
                <w:rFonts w:cs="Times New Roman"/>
              </w:rPr>
              <w:t>600~900</w:t>
            </w:r>
          </w:p>
        </w:tc>
        <w:tc>
          <w:tcPr>
            <w:tcW w:w="651" w:type="pct"/>
            <w:shd w:val="clear" w:color="auto" w:fill="auto"/>
            <w:noWrap/>
            <w:vAlign w:val="center"/>
          </w:tcPr>
          <w:p>
            <w:pPr>
              <w:pStyle w:val="38"/>
              <w:rPr>
                <w:rFonts w:cs="Times New Roman"/>
              </w:rPr>
            </w:pPr>
            <w:r>
              <w:rPr>
                <w:rFonts w:cs="Times New Roman"/>
              </w:rPr>
              <w:t>900~2000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continue"/>
            <w:shd w:val="clear" w:color="auto" w:fill="auto"/>
            <w:noWrap/>
            <w:vAlign w:val="center"/>
          </w:tcPr>
          <w:p>
            <w:pPr>
              <w:pStyle w:val="38"/>
              <w:rPr>
                <w:rFonts w:cs="Times New Roman"/>
              </w:rPr>
            </w:pPr>
          </w:p>
        </w:tc>
        <w:tc>
          <w:tcPr>
            <w:tcW w:w="641" w:type="pct"/>
            <w:vMerge w:val="continue"/>
            <w:vAlign w:val="center"/>
          </w:tcPr>
          <w:p>
            <w:pPr>
              <w:pStyle w:val="38"/>
              <w:rPr>
                <w:rFonts w:cs="Times New Roman"/>
              </w:rPr>
            </w:pPr>
          </w:p>
        </w:tc>
        <w:tc>
          <w:tcPr>
            <w:tcW w:w="704" w:type="pct"/>
            <w:vAlign w:val="center"/>
          </w:tcPr>
          <w:p>
            <w:pPr>
              <w:pStyle w:val="38"/>
              <w:rPr>
                <w:rFonts w:cs="Times New Roman"/>
              </w:rPr>
            </w:pPr>
            <w:r>
              <w:rPr>
                <w:rFonts w:cs="Times New Roman"/>
              </w:rPr>
              <w:t>2.1GHz</w:t>
            </w:r>
          </w:p>
        </w:tc>
        <w:tc>
          <w:tcPr>
            <w:tcW w:w="790" w:type="pct"/>
            <w:shd w:val="clear" w:color="auto" w:fill="auto"/>
            <w:noWrap/>
            <w:vAlign w:val="center"/>
          </w:tcPr>
          <w:p>
            <w:pPr>
              <w:pStyle w:val="38"/>
              <w:rPr>
                <w:rFonts w:cs="Times New Roman"/>
              </w:rPr>
            </w:pPr>
            <w:r>
              <w:rPr>
                <w:rFonts w:cs="Times New Roman"/>
              </w:rPr>
              <w:t>320~400</w:t>
            </w:r>
          </w:p>
        </w:tc>
        <w:tc>
          <w:tcPr>
            <w:tcW w:w="790" w:type="pct"/>
            <w:shd w:val="clear" w:color="auto" w:fill="auto"/>
            <w:noWrap/>
            <w:vAlign w:val="center"/>
          </w:tcPr>
          <w:p>
            <w:pPr>
              <w:pStyle w:val="38"/>
              <w:rPr>
                <w:rFonts w:cs="Times New Roman"/>
              </w:rPr>
            </w:pPr>
            <w:r>
              <w:rPr>
                <w:rFonts w:cs="Times New Roman"/>
              </w:rPr>
              <w:t>400~550</w:t>
            </w:r>
          </w:p>
        </w:tc>
        <w:tc>
          <w:tcPr>
            <w:tcW w:w="822" w:type="pct"/>
            <w:shd w:val="clear" w:color="auto" w:fill="auto"/>
            <w:noWrap/>
            <w:vAlign w:val="center"/>
          </w:tcPr>
          <w:p>
            <w:pPr>
              <w:pStyle w:val="38"/>
              <w:rPr>
                <w:rFonts w:cs="Times New Roman"/>
              </w:rPr>
            </w:pPr>
            <w:r>
              <w:rPr>
                <w:rFonts w:cs="Times New Roman"/>
              </w:rPr>
              <w:t>550~800</w:t>
            </w:r>
          </w:p>
        </w:tc>
        <w:tc>
          <w:tcPr>
            <w:tcW w:w="651" w:type="pct"/>
            <w:shd w:val="clear" w:color="auto" w:fill="auto"/>
            <w:noWrap/>
            <w:vAlign w:val="center"/>
          </w:tcPr>
          <w:p>
            <w:pPr>
              <w:pStyle w:val="38"/>
              <w:rPr>
                <w:rFonts w:cs="Times New Roman"/>
              </w:rPr>
            </w:pPr>
            <w:r>
              <w:rPr>
                <w:rFonts w:cs="Times New Roman"/>
              </w:rPr>
              <w:t>800~2000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restart"/>
            <w:shd w:val="clear" w:color="auto" w:fill="auto"/>
            <w:noWrap/>
            <w:vAlign w:val="center"/>
          </w:tcPr>
          <w:p>
            <w:pPr>
              <w:pStyle w:val="38"/>
              <w:rPr>
                <w:rFonts w:cs="Times New Roman"/>
              </w:rPr>
            </w:pPr>
            <w:r>
              <w:rPr>
                <w:rFonts w:cs="Times New Roman"/>
              </w:rPr>
              <w:t>中国联通</w:t>
            </w:r>
          </w:p>
        </w:tc>
        <w:tc>
          <w:tcPr>
            <w:tcW w:w="641" w:type="pct"/>
            <w:vMerge w:val="restart"/>
            <w:vAlign w:val="center"/>
          </w:tcPr>
          <w:p>
            <w:pPr>
              <w:pStyle w:val="38"/>
              <w:rPr>
                <w:rFonts w:cs="Times New Roman"/>
              </w:rPr>
            </w:pPr>
            <w:r>
              <w:rPr>
                <w:rFonts w:cs="Times New Roman"/>
              </w:rPr>
              <w:t>LTE FDD</w:t>
            </w:r>
          </w:p>
        </w:tc>
        <w:tc>
          <w:tcPr>
            <w:tcW w:w="704" w:type="pct"/>
            <w:vAlign w:val="center"/>
          </w:tcPr>
          <w:p>
            <w:pPr>
              <w:pStyle w:val="38"/>
              <w:rPr>
                <w:rFonts w:cs="Times New Roman"/>
              </w:rPr>
            </w:pPr>
            <w:r>
              <w:rPr>
                <w:rFonts w:cs="Times New Roman"/>
              </w:rPr>
              <w:t>1.8GHz</w:t>
            </w:r>
          </w:p>
        </w:tc>
        <w:tc>
          <w:tcPr>
            <w:tcW w:w="790" w:type="pct"/>
            <w:shd w:val="clear" w:color="auto" w:fill="auto"/>
            <w:noWrap/>
            <w:vAlign w:val="center"/>
          </w:tcPr>
          <w:p>
            <w:pPr>
              <w:pStyle w:val="38"/>
              <w:rPr>
                <w:rFonts w:cs="Times New Roman"/>
              </w:rPr>
            </w:pPr>
            <w:r>
              <w:rPr>
                <w:rFonts w:cs="Times New Roman"/>
              </w:rPr>
              <w:t>350~450</w:t>
            </w:r>
          </w:p>
        </w:tc>
        <w:tc>
          <w:tcPr>
            <w:tcW w:w="790" w:type="pct"/>
            <w:shd w:val="clear" w:color="auto" w:fill="auto"/>
            <w:noWrap/>
            <w:vAlign w:val="center"/>
          </w:tcPr>
          <w:p>
            <w:pPr>
              <w:pStyle w:val="38"/>
              <w:rPr>
                <w:rFonts w:cs="Times New Roman"/>
              </w:rPr>
            </w:pPr>
            <w:r>
              <w:rPr>
                <w:rFonts w:cs="Times New Roman"/>
              </w:rPr>
              <w:t>450~600</w:t>
            </w:r>
          </w:p>
        </w:tc>
        <w:tc>
          <w:tcPr>
            <w:tcW w:w="822" w:type="pct"/>
            <w:shd w:val="clear" w:color="auto" w:fill="auto"/>
            <w:noWrap/>
            <w:vAlign w:val="center"/>
          </w:tcPr>
          <w:p>
            <w:pPr>
              <w:pStyle w:val="38"/>
              <w:rPr>
                <w:rFonts w:cs="Times New Roman"/>
              </w:rPr>
            </w:pPr>
            <w:r>
              <w:rPr>
                <w:rFonts w:cs="Times New Roman"/>
              </w:rPr>
              <w:t>600~900</w:t>
            </w:r>
          </w:p>
        </w:tc>
        <w:tc>
          <w:tcPr>
            <w:tcW w:w="651" w:type="pct"/>
            <w:shd w:val="clear" w:color="auto" w:fill="auto"/>
            <w:noWrap/>
            <w:vAlign w:val="center"/>
          </w:tcPr>
          <w:p>
            <w:pPr>
              <w:pStyle w:val="38"/>
              <w:rPr>
                <w:rFonts w:cs="Times New Roman"/>
              </w:rPr>
            </w:pPr>
            <w:r>
              <w:rPr>
                <w:rFonts w:cs="Times New Roman"/>
              </w:rPr>
              <w:t>900~2000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2" w:type="pct"/>
            <w:vMerge w:val="continue"/>
            <w:shd w:val="clear" w:color="auto" w:fill="auto"/>
            <w:noWrap/>
            <w:vAlign w:val="center"/>
          </w:tcPr>
          <w:p>
            <w:pPr>
              <w:pStyle w:val="38"/>
              <w:rPr>
                <w:rFonts w:cs="Times New Roman"/>
              </w:rPr>
            </w:pPr>
          </w:p>
        </w:tc>
        <w:tc>
          <w:tcPr>
            <w:tcW w:w="641" w:type="pct"/>
            <w:vMerge w:val="continue"/>
            <w:vAlign w:val="center"/>
          </w:tcPr>
          <w:p>
            <w:pPr>
              <w:pStyle w:val="38"/>
              <w:rPr>
                <w:rFonts w:cs="Times New Roman"/>
              </w:rPr>
            </w:pPr>
          </w:p>
        </w:tc>
        <w:tc>
          <w:tcPr>
            <w:tcW w:w="704" w:type="pct"/>
            <w:vAlign w:val="center"/>
          </w:tcPr>
          <w:p>
            <w:pPr>
              <w:pStyle w:val="38"/>
              <w:rPr>
                <w:rFonts w:cs="Times New Roman"/>
              </w:rPr>
            </w:pPr>
            <w:r>
              <w:rPr>
                <w:rFonts w:cs="Times New Roman"/>
              </w:rPr>
              <w:t>2.1GHz</w:t>
            </w:r>
          </w:p>
        </w:tc>
        <w:tc>
          <w:tcPr>
            <w:tcW w:w="790" w:type="pct"/>
            <w:shd w:val="clear" w:color="auto" w:fill="auto"/>
            <w:noWrap/>
            <w:vAlign w:val="center"/>
          </w:tcPr>
          <w:p>
            <w:pPr>
              <w:pStyle w:val="38"/>
              <w:rPr>
                <w:rFonts w:cs="Times New Roman"/>
              </w:rPr>
            </w:pPr>
            <w:r>
              <w:rPr>
                <w:rFonts w:cs="Times New Roman"/>
              </w:rPr>
              <w:t>320~400</w:t>
            </w:r>
          </w:p>
        </w:tc>
        <w:tc>
          <w:tcPr>
            <w:tcW w:w="790" w:type="pct"/>
            <w:shd w:val="clear" w:color="auto" w:fill="auto"/>
            <w:noWrap/>
            <w:vAlign w:val="center"/>
          </w:tcPr>
          <w:p>
            <w:pPr>
              <w:pStyle w:val="38"/>
              <w:rPr>
                <w:rFonts w:cs="Times New Roman"/>
              </w:rPr>
            </w:pPr>
            <w:r>
              <w:rPr>
                <w:rFonts w:cs="Times New Roman"/>
              </w:rPr>
              <w:t>400~550</w:t>
            </w:r>
          </w:p>
        </w:tc>
        <w:tc>
          <w:tcPr>
            <w:tcW w:w="822" w:type="pct"/>
            <w:shd w:val="clear" w:color="auto" w:fill="auto"/>
            <w:noWrap/>
            <w:vAlign w:val="center"/>
          </w:tcPr>
          <w:p>
            <w:pPr>
              <w:pStyle w:val="38"/>
              <w:rPr>
                <w:rFonts w:cs="Times New Roman"/>
              </w:rPr>
            </w:pPr>
            <w:r>
              <w:rPr>
                <w:rFonts w:cs="Times New Roman"/>
              </w:rPr>
              <w:t>550~800</w:t>
            </w:r>
          </w:p>
        </w:tc>
        <w:tc>
          <w:tcPr>
            <w:tcW w:w="651" w:type="pct"/>
            <w:shd w:val="clear" w:color="auto" w:fill="auto"/>
            <w:noWrap/>
            <w:vAlign w:val="center"/>
          </w:tcPr>
          <w:p>
            <w:pPr>
              <w:pStyle w:val="38"/>
              <w:rPr>
                <w:rFonts w:cs="Times New Roman"/>
              </w:rPr>
            </w:pPr>
            <w:r>
              <w:rPr>
                <w:rFonts w:cs="Times New Roman"/>
              </w:rPr>
              <w:t>800~2000</w:t>
            </w:r>
          </w:p>
        </w:tc>
      </w:tr>
    </w:tbl>
    <w:p>
      <w:pPr>
        <w:ind w:firstLine="480"/>
      </w:pPr>
      <w:r>
        <w:t>结合海南省实际情况，通过链路预算计算及路测数据验证，得到海南省各场景站距分析及建议如下：</w:t>
      </w:r>
    </w:p>
    <w:p>
      <w:pPr>
        <w:ind w:firstLine="480"/>
      </w:pPr>
      <w:r>
        <w:t xml:space="preserve"> 各场景典型站距参考表</w:t>
      </w:r>
    </w:p>
    <w:tbl>
      <w:tblPr>
        <w:tblStyle w:val="17"/>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49"/>
        <w:gridCol w:w="4547"/>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jc w:val="center"/>
        </w:trPr>
        <w:tc>
          <w:tcPr>
            <w:tcW w:w="881" w:type="pct"/>
            <w:shd w:val="clear" w:color="auto" w:fill="auto"/>
            <w:noWrap/>
            <w:vAlign w:val="center"/>
          </w:tcPr>
          <w:p>
            <w:pPr>
              <w:pStyle w:val="38"/>
              <w:rPr>
                <w:rFonts w:cs="Times New Roman"/>
              </w:rPr>
            </w:pPr>
            <w:r>
              <w:rPr>
                <w:rFonts w:cs="Times New Roman"/>
              </w:rPr>
              <w:t>区域类型</w:t>
            </w:r>
          </w:p>
        </w:tc>
        <w:tc>
          <w:tcPr>
            <w:tcW w:w="2430" w:type="pct"/>
            <w:shd w:val="clear" w:color="auto" w:fill="auto"/>
            <w:noWrap/>
            <w:vAlign w:val="center"/>
          </w:tcPr>
          <w:p>
            <w:pPr>
              <w:pStyle w:val="38"/>
              <w:rPr>
                <w:rFonts w:cs="Times New Roman"/>
              </w:rPr>
            </w:pPr>
            <w:r>
              <w:rPr>
                <w:rFonts w:cs="Times New Roman"/>
              </w:rPr>
              <w:t>1800MHz-2100MHz典型站距（米）</w:t>
            </w:r>
          </w:p>
        </w:tc>
        <w:tc>
          <w:tcPr>
            <w:tcW w:w="1689" w:type="pct"/>
            <w:shd w:val="clear" w:color="auto" w:fill="auto"/>
            <w:noWrap/>
            <w:vAlign w:val="center"/>
          </w:tcPr>
          <w:p>
            <w:pPr>
              <w:pStyle w:val="38"/>
              <w:rPr>
                <w:rFonts w:cs="Times New Roman"/>
              </w:rPr>
            </w:pPr>
            <w:r>
              <w:rPr>
                <w:rFonts w:cs="Times New Roman"/>
              </w:rPr>
              <w:t>2600MHz典型站距（米）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密集市区</w:t>
            </w:r>
          </w:p>
        </w:tc>
        <w:tc>
          <w:tcPr>
            <w:tcW w:w="2430" w:type="pct"/>
            <w:shd w:val="clear" w:color="auto" w:fill="auto"/>
            <w:noWrap/>
            <w:vAlign w:val="center"/>
          </w:tcPr>
          <w:p>
            <w:pPr>
              <w:pStyle w:val="38"/>
              <w:rPr>
                <w:rFonts w:cs="Times New Roman"/>
              </w:rPr>
            </w:pPr>
            <w:r>
              <w:rPr>
                <w:rFonts w:cs="Times New Roman"/>
              </w:rPr>
              <w:t>300-400</w:t>
            </w:r>
          </w:p>
        </w:tc>
        <w:tc>
          <w:tcPr>
            <w:tcW w:w="1689" w:type="pct"/>
            <w:shd w:val="clear" w:color="auto" w:fill="auto"/>
            <w:noWrap/>
            <w:vAlign w:val="center"/>
          </w:tcPr>
          <w:p>
            <w:pPr>
              <w:pStyle w:val="38"/>
              <w:rPr>
                <w:rFonts w:cs="Times New Roman"/>
              </w:rPr>
            </w:pPr>
            <w:r>
              <w:rPr>
                <w:rFonts w:cs="Times New Roman"/>
              </w:rPr>
              <w:t>250-350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一般市区</w:t>
            </w:r>
          </w:p>
        </w:tc>
        <w:tc>
          <w:tcPr>
            <w:tcW w:w="2430" w:type="pct"/>
            <w:shd w:val="clear" w:color="auto" w:fill="auto"/>
            <w:noWrap/>
            <w:vAlign w:val="center"/>
          </w:tcPr>
          <w:p>
            <w:pPr>
              <w:pStyle w:val="38"/>
              <w:rPr>
                <w:rFonts w:cs="Times New Roman"/>
              </w:rPr>
            </w:pPr>
            <w:r>
              <w:rPr>
                <w:rFonts w:cs="Times New Roman"/>
              </w:rPr>
              <w:t>400-600</w:t>
            </w:r>
          </w:p>
        </w:tc>
        <w:tc>
          <w:tcPr>
            <w:tcW w:w="1689" w:type="pct"/>
            <w:shd w:val="clear" w:color="auto" w:fill="auto"/>
            <w:noWrap/>
            <w:vAlign w:val="center"/>
          </w:tcPr>
          <w:p>
            <w:pPr>
              <w:pStyle w:val="38"/>
              <w:rPr>
                <w:rFonts w:cs="Times New Roman"/>
              </w:rPr>
            </w:pPr>
            <w:r>
              <w:rPr>
                <w:rFonts w:cs="Times New Roman"/>
              </w:rPr>
              <w:t>350-450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郊区</w:t>
            </w:r>
          </w:p>
        </w:tc>
        <w:tc>
          <w:tcPr>
            <w:tcW w:w="2430" w:type="pct"/>
            <w:shd w:val="clear" w:color="auto" w:fill="auto"/>
            <w:noWrap/>
            <w:vAlign w:val="center"/>
          </w:tcPr>
          <w:p>
            <w:pPr>
              <w:pStyle w:val="38"/>
              <w:rPr>
                <w:rFonts w:cs="Times New Roman"/>
              </w:rPr>
            </w:pPr>
            <w:r>
              <w:rPr>
                <w:rFonts w:cs="Times New Roman"/>
              </w:rPr>
              <w:t>500-800</w:t>
            </w:r>
          </w:p>
        </w:tc>
        <w:tc>
          <w:tcPr>
            <w:tcW w:w="1689" w:type="pct"/>
            <w:shd w:val="clear" w:color="auto" w:fill="auto"/>
            <w:noWrap/>
            <w:vAlign w:val="center"/>
          </w:tcPr>
          <w:p>
            <w:pPr>
              <w:pStyle w:val="38"/>
              <w:rPr>
                <w:rFonts w:cs="Times New Roman"/>
              </w:rPr>
            </w:pPr>
            <w:r>
              <w:rPr>
                <w:rFonts w:cs="Times New Roman"/>
              </w:rPr>
              <w:t>450-750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县城</w:t>
            </w:r>
          </w:p>
        </w:tc>
        <w:tc>
          <w:tcPr>
            <w:tcW w:w="2430" w:type="pct"/>
            <w:shd w:val="clear" w:color="auto" w:fill="auto"/>
            <w:noWrap/>
            <w:vAlign w:val="center"/>
          </w:tcPr>
          <w:p>
            <w:pPr>
              <w:pStyle w:val="38"/>
              <w:rPr>
                <w:rFonts w:cs="Times New Roman"/>
              </w:rPr>
            </w:pPr>
            <w:r>
              <w:rPr>
                <w:rFonts w:cs="Times New Roman"/>
              </w:rPr>
              <w:t>400-600</w:t>
            </w:r>
          </w:p>
        </w:tc>
        <w:tc>
          <w:tcPr>
            <w:tcW w:w="1689" w:type="pct"/>
            <w:shd w:val="clear" w:color="auto" w:fill="auto"/>
            <w:noWrap/>
            <w:vAlign w:val="center"/>
          </w:tcPr>
          <w:p>
            <w:pPr>
              <w:pStyle w:val="38"/>
              <w:rPr>
                <w:rFonts w:cs="Times New Roman"/>
              </w:rPr>
            </w:pPr>
            <w:r>
              <w:rPr>
                <w:rFonts w:cs="Times New Roman"/>
              </w:rPr>
              <w:t>350-450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乡镇</w:t>
            </w:r>
          </w:p>
        </w:tc>
        <w:tc>
          <w:tcPr>
            <w:tcW w:w="2430" w:type="pct"/>
            <w:shd w:val="clear" w:color="auto" w:fill="auto"/>
            <w:noWrap/>
            <w:vAlign w:val="center"/>
          </w:tcPr>
          <w:p>
            <w:pPr>
              <w:pStyle w:val="38"/>
              <w:rPr>
                <w:rFonts w:cs="Times New Roman"/>
              </w:rPr>
            </w:pPr>
            <w:r>
              <w:rPr>
                <w:rFonts w:cs="Times New Roman"/>
              </w:rPr>
              <w:t>500-800</w:t>
            </w:r>
          </w:p>
        </w:tc>
        <w:tc>
          <w:tcPr>
            <w:tcW w:w="1689" w:type="pct"/>
            <w:shd w:val="clear" w:color="auto" w:fill="auto"/>
            <w:noWrap/>
            <w:vAlign w:val="center"/>
          </w:tcPr>
          <w:p>
            <w:pPr>
              <w:pStyle w:val="38"/>
              <w:rPr>
                <w:rFonts w:cs="Times New Roman"/>
              </w:rPr>
            </w:pPr>
            <w:r>
              <w:rPr>
                <w:rFonts w:cs="Times New Roman"/>
              </w:rPr>
              <w:t>450-750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农村</w:t>
            </w:r>
          </w:p>
        </w:tc>
        <w:tc>
          <w:tcPr>
            <w:tcW w:w="2430" w:type="pct"/>
            <w:shd w:val="clear" w:color="auto" w:fill="auto"/>
            <w:noWrap/>
            <w:vAlign w:val="center"/>
          </w:tcPr>
          <w:p>
            <w:pPr>
              <w:pStyle w:val="38"/>
              <w:rPr>
                <w:rFonts w:cs="Times New Roman"/>
              </w:rPr>
            </w:pPr>
            <w:r>
              <w:rPr>
                <w:rFonts w:cs="Times New Roman"/>
              </w:rPr>
              <w:t>2000-3000</w:t>
            </w:r>
          </w:p>
        </w:tc>
        <w:tc>
          <w:tcPr>
            <w:tcW w:w="1689" w:type="pct"/>
            <w:shd w:val="clear" w:color="auto" w:fill="auto"/>
            <w:noWrap/>
            <w:vAlign w:val="center"/>
          </w:tcPr>
          <w:p>
            <w:pPr>
              <w:pStyle w:val="38"/>
              <w:rPr>
                <w:rFonts w:cs="Times New Roman"/>
              </w:rPr>
            </w:pPr>
            <w:r>
              <w:rPr>
                <w:rFonts w:cs="Times New Roman"/>
              </w:rPr>
              <w:t>1900-2900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81" w:type="pct"/>
            <w:shd w:val="clear" w:color="auto" w:fill="auto"/>
            <w:noWrap/>
            <w:vAlign w:val="center"/>
          </w:tcPr>
          <w:p>
            <w:pPr>
              <w:pStyle w:val="38"/>
              <w:rPr>
                <w:rFonts w:cs="Times New Roman"/>
              </w:rPr>
            </w:pPr>
            <w:r>
              <w:rPr>
                <w:rFonts w:cs="Times New Roman"/>
              </w:rPr>
              <w:t>新区</w:t>
            </w:r>
          </w:p>
        </w:tc>
        <w:tc>
          <w:tcPr>
            <w:tcW w:w="2430" w:type="pct"/>
            <w:shd w:val="clear" w:color="auto" w:fill="auto"/>
            <w:noWrap/>
            <w:vAlign w:val="center"/>
          </w:tcPr>
          <w:p>
            <w:pPr>
              <w:pStyle w:val="38"/>
              <w:rPr>
                <w:rFonts w:cs="Times New Roman"/>
              </w:rPr>
            </w:pPr>
            <w:r>
              <w:rPr>
                <w:rFonts w:cs="Times New Roman"/>
              </w:rPr>
              <w:t>500-800</w:t>
            </w:r>
          </w:p>
        </w:tc>
        <w:tc>
          <w:tcPr>
            <w:tcW w:w="1689" w:type="pct"/>
            <w:shd w:val="clear" w:color="auto" w:fill="auto"/>
            <w:noWrap/>
            <w:vAlign w:val="center"/>
          </w:tcPr>
          <w:p>
            <w:pPr>
              <w:pStyle w:val="38"/>
              <w:rPr>
                <w:rFonts w:cs="Times New Roman"/>
              </w:rPr>
            </w:pPr>
            <w:r>
              <w:rPr>
                <w:rFonts w:cs="Times New Roman"/>
              </w:rPr>
              <w:t>450-750</w:t>
            </w:r>
          </w:p>
        </w:tc>
      </w:tr>
    </w:tbl>
    <w:p>
      <w:pPr>
        <w:ind w:firstLine="480"/>
      </w:pPr>
      <w:r>
        <w:rPr>
          <w:rFonts w:hint="eastAsia"/>
        </w:rPr>
        <w:t>结合海南生态智慧新城起步区规划情况，宜参考一般市区站间距原则，4G网络站间距取4</w:t>
      </w:r>
      <w:r>
        <w:t>00</w:t>
      </w:r>
      <w:r>
        <w:rPr>
          <w:rFonts w:hint="eastAsia"/>
        </w:rPr>
        <w:t>-</w:t>
      </w:r>
      <w:r>
        <w:t>500米</w:t>
      </w:r>
      <w:r>
        <w:rPr>
          <w:rFonts w:hint="eastAsia"/>
        </w:rPr>
        <w:t>。</w:t>
      </w:r>
    </w:p>
    <w:p>
      <w:pPr>
        <w:pStyle w:val="4"/>
        <w:numPr>
          <w:ilvl w:val="2"/>
          <w:numId w:val="8"/>
        </w:numPr>
        <w:ind w:firstLineChars="0"/>
      </w:pPr>
      <w:bookmarkStart w:id="190" w:name="_Toc1208581933"/>
      <w:r>
        <w:rPr>
          <w:rFonts w:hint="eastAsia"/>
        </w:rPr>
        <w:t>5G规划原则</w:t>
      </w:r>
      <w:bookmarkEnd w:id="190"/>
    </w:p>
    <w:p>
      <w:pPr>
        <w:ind w:firstLine="480"/>
      </w:pPr>
      <w:bookmarkStart w:id="191" w:name="_Toc14162924"/>
      <w:r>
        <w:t>1</w:t>
      </w:r>
      <w:r>
        <w:rPr>
          <w:rFonts w:hint="eastAsia"/>
        </w:rPr>
        <w:t>）5</w:t>
      </w:r>
      <w:r>
        <w:t>G</w:t>
      </w:r>
      <w:r>
        <w:rPr>
          <w:rFonts w:hint="eastAsia"/>
        </w:rPr>
        <w:t>基站组网方式</w:t>
      </w:r>
      <w:bookmarkEnd w:id="191"/>
    </w:p>
    <w:p>
      <w:pPr>
        <w:ind w:firstLine="480"/>
      </w:pPr>
      <w:r>
        <w:rPr>
          <w:rFonts w:hint="eastAsia"/>
        </w:rPr>
        <w:t>5G组网可支持SA和NSA两种方式，NSA中现有4G可作为5G覆盖层，5G NR作为容量层，其中NSA组网需求同时各新增一套4G和5G系统，SA组网只需要新增一套5G系统，具体组网方式如下：</w:t>
      </w:r>
    </w:p>
    <w:p>
      <w:pPr>
        <w:ind w:firstLine="480"/>
        <w:rPr>
          <w:rFonts w:ascii="Times New Roman" w:hAnsi="Times New Roman"/>
        </w:rPr>
      </w:pP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"C:\\Users\\bone\\AppData\\Roaming\\Tencent\\Users\\297122454\\QQ\\WinTemp\\RichOle\\ZE]PDRT(5NC(%7{M6]2JT~4.png"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"E:\\..\\..\\..\\..\\bone\\AppData\\Roaming\\Tencent\\Users\\297122454\\QQ\\WinTemp\\RichOle\\ZE]PDRT(5NC(%7{M6]2JT~4.png"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"E:\\..\\..\\..\\..\\bone\\AppData\\Roaming\\Tencent\\Users\\297122454\\QQ\\WinTemp\\RichOle\\ZE]PDRT(5NC(%7{M6]2JT~4.png" \* MERGEFORMATINET </w:instrText>
      </w:r>
      <w:r>
        <w:rPr>
          <w:rFonts w:ascii="Times New Roman" w:hAnsi="Times New Roman"/>
        </w:rPr>
        <w:fldChar w:fldCharType="separate"/>
      </w:r>
      <w:r>
        <w:rPr>
          <w:rFonts w:ascii="Times New Roman" w:hAnsi="Times New Roman"/>
        </w:rPr>
        <w:pict>
          <v:shape id="_x0000_i1025" o:spt="75" type="#_x0000_t75" style="height:142.35pt;width:382.6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p>
    <w:p>
      <w:pPr>
        <w:ind w:firstLine="480"/>
        <w:jc w:val="center"/>
        <w:rPr>
          <w:rFonts w:ascii="Times New Roman" w:hAnsi="Times New Roman"/>
        </w:rPr>
      </w:pPr>
      <w:r>
        <w:rPr>
          <w:rFonts w:hint="eastAsia" w:ascii="Times New Roman" w:hAnsi="Times New Roman"/>
        </w:rPr>
        <w:t>图5</w:t>
      </w:r>
      <w:r>
        <w:rPr>
          <w:rFonts w:ascii="Times New Roman" w:hAnsi="Times New Roman"/>
        </w:rPr>
        <w:t xml:space="preserve">.1.3 </w:t>
      </w:r>
      <w:r>
        <w:rPr>
          <w:rFonts w:hint="eastAsia" w:ascii="Times New Roman" w:hAnsi="Times New Roman"/>
        </w:rPr>
        <w:t>5</w:t>
      </w:r>
      <w:r>
        <w:rPr>
          <w:rFonts w:ascii="Times New Roman" w:hAnsi="Times New Roman"/>
        </w:rPr>
        <w:t>G</w:t>
      </w:r>
      <w:r>
        <w:rPr>
          <w:rFonts w:hint="eastAsia" w:ascii="Times New Roman" w:hAnsi="Times New Roman"/>
        </w:rPr>
        <w:t>组网方式</w:t>
      </w:r>
    </w:p>
    <w:p>
      <w:pPr>
        <w:ind w:firstLine="480"/>
      </w:pPr>
      <w:bookmarkStart w:id="192" w:name="_Toc14162925"/>
      <w:r>
        <w:t>2</w:t>
      </w:r>
      <w:r>
        <w:rPr>
          <w:rFonts w:hint="eastAsia"/>
        </w:rPr>
        <w:t>）5</w:t>
      </w:r>
      <w:r>
        <w:t>G</w:t>
      </w:r>
      <w:r>
        <w:rPr>
          <w:rFonts w:hint="eastAsia"/>
        </w:rPr>
        <w:t>基站设备架构</w:t>
      </w:r>
      <w:bookmarkEnd w:id="192"/>
    </w:p>
    <w:p>
      <w:pPr>
        <w:ind w:firstLine="480"/>
      </w:pPr>
      <w:r>
        <w:rPr>
          <w:rFonts w:hint="eastAsia"/>
        </w:rPr>
        <w:t>5G基站架构相对于4G发生了很大的变化，将由4G BBU、RRU两级结构演进到CU、DU和RRU/AAU三级结构，如图所示：</w:t>
      </w:r>
    </w:p>
    <w:p>
      <w:pPr>
        <w:ind w:firstLine="0" w:firstLineChars="0"/>
        <w:jc w:val="center"/>
        <w:rPr>
          <w:rFonts w:ascii="宋体" w:hAnsi="宋体" w:cs="宋体"/>
          <w:szCs w:val="24"/>
        </w:rPr>
      </w:pP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"C:\\Users\\bone\\AppData\\Roaming\\Tencent\\Users\\297122454\\QQ\\WinTemp\\RichOle\\OI0@D[X}L{JE%XHFJ6V)OAX.png"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"E:\\..\\..\\..\\..\\bone\\AppData\\Roaming\\Tencent\\Users\\297122454\\QQ\\WinTemp\\RichOle\\OI0@D[X}L{JE%XHFJ6V)OAX.png"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"E:\\..\\..\\..\\..\\bone\\AppData\\Roaming\\Tencent\\Users\\297122454\\QQ\\WinTemp\\RichOle\\OI0@D[X}L{JE%XHFJ6V)OAX.png"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fldChar w:fldCharType="begin"/>
      </w:r>
      <w:r>
        <w:rPr>
          <w:rFonts w:ascii="宋体" w:hAnsi="宋体" w:cs="宋体"/>
          <w:szCs w:val="24"/>
        </w:rPr>
        <w:instrText xml:space="preserve"> INCLUDEPICTURE  "E:\\..\\..\\..\\..\\bone\\AppData\\Roaming\\Tencent\\Users\\297122454\\QQ\\WinTemp\\RichOle\\OI0@D[X}L{JE%XHFJ6V)OAX.png" \* MERGEFORMATINET </w:instrText>
      </w:r>
      <w:r>
        <w:rPr>
          <w:rFonts w:ascii="宋体" w:hAnsi="宋体" w:cs="宋体"/>
          <w:szCs w:val="24"/>
        </w:rPr>
        <w:fldChar w:fldCharType="separate"/>
      </w:r>
      <w:r>
        <w:rPr>
          <w:rFonts w:ascii="宋体" w:hAnsi="宋体" w:cs="宋体"/>
          <w:szCs w:val="24"/>
        </w:rPr>
        <w:pict>
          <v:shape id="_x0000_i1026" o:spt="75" type="#_x0000_t75" style="height:227.7pt;width:314.8pt;" filled="f" o:preferrelative="t" stroked="f" coordsize="21600,21600">
            <v:path/>
            <v:fill on="f" focussize="0,0"/>
            <v:stroke on="f" joinstyle="miter"/>
            <v:imagedata r:id="rId23" r:href="rId24" o:title=""/>
            <o:lock v:ext="edit" aspectratio="t"/>
            <w10:wrap type="none"/>
            <w10:anchorlock/>
          </v:shape>
        </w:pict>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r>
        <w:rPr>
          <w:rFonts w:ascii="宋体" w:hAnsi="宋体" w:cs="宋体"/>
          <w:szCs w:val="24"/>
        </w:rPr>
        <w:fldChar w:fldCharType="end"/>
      </w:r>
    </w:p>
    <w:p>
      <w:pPr>
        <w:ind w:firstLine="480"/>
      </w:pPr>
      <w:r>
        <w:rPr>
          <w:rFonts w:hint="eastAsia"/>
        </w:rPr>
        <w:t>5</w:t>
      </w:r>
      <w:r>
        <w:t>G</w:t>
      </w:r>
      <w:r>
        <w:rPr>
          <w:rFonts w:hint="eastAsia"/>
        </w:rPr>
        <w:t>基站设备架构：</w:t>
      </w:r>
    </w:p>
    <w:p>
      <w:pPr>
        <w:ind w:firstLine="480"/>
      </w:pPr>
      <w:r>
        <w:rPr>
          <w:rFonts w:hint="eastAsia"/>
        </w:rPr>
        <w:t>CU（Centralized Unit，集中单元）是原BBU的非实时部分分割出来的部分，处理非实时协议和服务。</w:t>
      </w:r>
    </w:p>
    <w:p>
      <w:pPr>
        <w:ind w:firstLine="480"/>
      </w:pPr>
      <w:r>
        <w:rPr>
          <w:rFonts w:hint="eastAsia"/>
        </w:rPr>
        <w:t>DU（Distribute Unit，分布式单元）是负责处理物理层协议和实时服务，考虑节省RRU与DU之间的传输资源，部分物理层功能可上移至RRU。</w:t>
      </w:r>
    </w:p>
    <w:p>
      <w:pPr>
        <w:ind w:firstLine="480"/>
      </w:pPr>
      <w:r>
        <w:rPr>
          <w:rFonts w:hint="eastAsia"/>
        </w:rPr>
        <w:t>3）5G站间距要求</w:t>
      </w:r>
    </w:p>
    <w:p>
      <w:pPr>
        <w:ind w:firstLine="480"/>
      </w:pPr>
      <w:r>
        <w:rPr>
          <w:rFonts w:hint="eastAsia"/>
        </w:rPr>
        <w:t>不同运营商5G站点站间距要求建议如下：</w:t>
      </w:r>
    </w:p>
    <w:p>
      <w:pPr>
        <w:ind w:firstLine="482"/>
        <w:rPr>
          <w:b/>
        </w:rPr>
      </w:pPr>
      <w:r>
        <w:rPr>
          <w:rFonts w:hint="eastAsia"/>
          <w:b/>
        </w:rPr>
        <w:t>5G不同频段城区覆盖建议站间距（米）</w:t>
      </w:r>
    </w:p>
    <w:tbl>
      <w:tblPr>
        <w:tblStyle w:val="17"/>
        <w:tblW w:w="5000" w:type="pct"/>
        <w:tblInd w:w="0" w:type="dxa"/>
        <w:tblLayout w:type="autofit"/>
        <w:tblCellMar>
          <w:top w:w="0" w:type="dxa"/>
          <w:left w:w="108" w:type="dxa"/>
          <w:bottom w:w="0" w:type="dxa"/>
          <w:right w:w="108" w:type="dxa"/>
        </w:tblCellMar>
      </w:tblPr>
      <w:tblGrid>
        <w:gridCol w:w="2441"/>
        <w:gridCol w:w="1145"/>
        <w:gridCol w:w="2100"/>
        <w:gridCol w:w="1418"/>
        <w:gridCol w:w="1418"/>
      </w:tblGrid>
      <w:tr>
        <w:tblPrEx>
          <w:tblCellMar>
            <w:top w:w="0" w:type="dxa"/>
            <w:left w:w="108" w:type="dxa"/>
            <w:bottom w:w="0" w:type="dxa"/>
            <w:right w:w="108" w:type="dxa"/>
          </w:tblCellMar>
        </w:tblPrEx>
        <w:trPr>
          <w:trHeight w:val="276" w:hRule="atLeast"/>
          <w:tblHeader/>
        </w:trPr>
        <w:tc>
          <w:tcPr>
            <w:tcW w:w="1432" w:type="pct"/>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网络制式</w:t>
            </w:r>
          </w:p>
        </w:tc>
        <w:tc>
          <w:tcPr>
            <w:tcW w:w="1904" w:type="pct"/>
            <w:gridSpan w:val="2"/>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工作频段</w:t>
            </w:r>
          </w:p>
        </w:tc>
        <w:tc>
          <w:tcPr>
            <w:tcW w:w="832"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密集城区</w:t>
            </w:r>
          </w:p>
        </w:tc>
        <w:tc>
          <w:tcPr>
            <w:tcW w:w="832" w:type="pct"/>
            <w:tcBorders>
              <w:top w:val="single" w:color="auto" w:sz="4" w:space="0"/>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一般城区</w:t>
            </w:r>
          </w:p>
        </w:tc>
      </w:tr>
      <w:tr>
        <w:tblPrEx>
          <w:tblCellMar>
            <w:top w:w="0" w:type="dxa"/>
            <w:left w:w="108" w:type="dxa"/>
            <w:bottom w:w="0" w:type="dxa"/>
            <w:right w:w="108" w:type="dxa"/>
          </w:tblCellMar>
        </w:tblPrEx>
        <w:trPr>
          <w:trHeight w:val="276" w:hRule="atLeast"/>
        </w:trPr>
        <w:tc>
          <w:tcPr>
            <w:tcW w:w="1432" w:type="pct"/>
            <w:vMerge w:val="restart"/>
            <w:tcBorders>
              <w:top w:val="nil"/>
              <w:left w:val="single" w:color="auto" w:sz="4" w:space="0"/>
              <w:bottom w:val="single" w:color="000000"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中国移动5G</w:t>
            </w:r>
          </w:p>
        </w:tc>
        <w:tc>
          <w:tcPr>
            <w:tcW w:w="672" w:type="pct"/>
            <w:vMerge w:val="restart"/>
            <w:tcBorders>
              <w:top w:val="nil"/>
              <w:left w:val="single" w:color="auto" w:sz="4" w:space="0"/>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2.6GHz</w:t>
            </w:r>
          </w:p>
        </w:tc>
        <w:tc>
          <w:tcPr>
            <w:tcW w:w="12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站间距（m）</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300~400</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400~500</w:t>
            </w:r>
          </w:p>
        </w:tc>
      </w:tr>
      <w:tr>
        <w:tblPrEx>
          <w:tblCellMar>
            <w:top w:w="0" w:type="dxa"/>
            <w:left w:w="108" w:type="dxa"/>
            <w:bottom w:w="0" w:type="dxa"/>
            <w:right w:w="108" w:type="dxa"/>
          </w:tblCellMar>
        </w:tblPrEx>
        <w:trPr>
          <w:trHeight w:val="276" w:hRule="atLeast"/>
        </w:trPr>
        <w:tc>
          <w:tcPr>
            <w:tcW w:w="1432"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67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12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偏移比例</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10%~15%</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10%~15%</w:t>
            </w:r>
          </w:p>
        </w:tc>
      </w:tr>
      <w:tr>
        <w:tblPrEx>
          <w:tblCellMar>
            <w:top w:w="0" w:type="dxa"/>
            <w:left w:w="108" w:type="dxa"/>
            <w:bottom w:w="0" w:type="dxa"/>
            <w:right w:w="108" w:type="dxa"/>
          </w:tblCellMar>
        </w:tblPrEx>
        <w:trPr>
          <w:trHeight w:val="276" w:hRule="atLeast"/>
        </w:trPr>
        <w:tc>
          <w:tcPr>
            <w:tcW w:w="1432"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67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12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偏移距离（m）</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30~60</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40~85</w:t>
            </w:r>
          </w:p>
        </w:tc>
      </w:tr>
      <w:tr>
        <w:tblPrEx>
          <w:tblCellMar>
            <w:top w:w="0" w:type="dxa"/>
            <w:left w:w="108" w:type="dxa"/>
            <w:bottom w:w="0" w:type="dxa"/>
            <w:right w:w="108" w:type="dxa"/>
          </w:tblCellMar>
        </w:tblPrEx>
        <w:trPr>
          <w:trHeight w:val="480" w:hRule="atLeast"/>
        </w:trPr>
        <w:tc>
          <w:tcPr>
            <w:tcW w:w="1432" w:type="pct"/>
            <w:vMerge w:val="restart"/>
            <w:tcBorders>
              <w:top w:val="nil"/>
              <w:left w:val="single" w:color="auto" w:sz="4" w:space="0"/>
              <w:bottom w:val="single" w:color="000000"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中国联通/电信5G</w:t>
            </w:r>
          </w:p>
        </w:tc>
        <w:tc>
          <w:tcPr>
            <w:tcW w:w="672" w:type="pct"/>
            <w:vMerge w:val="restart"/>
            <w:tcBorders>
              <w:top w:val="nil"/>
              <w:left w:val="single" w:color="auto" w:sz="4" w:space="0"/>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3.5GHz</w:t>
            </w:r>
          </w:p>
        </w:tc>
        <w:tc>
          <w:tcPr>
            <w:tcW w:w="12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站间距（m）</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250~350</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300~400</w:t>
            </w:r>
          </w:p>
        </w:tc>
      </w:tr>
      <w:tr>
        <w:tblPrEx>
          <w:tblCellMar>
            <w:top w:w="0" w:type="dxa"/>
            <w:left w:w="108" w:type="dxa"/>
            <w:bottom w:w="0" w:type="dxa"/>
            <w:right w:w="108" w:type="dxa"/>
          </w:tblCellMar>
        </w:tblPrEx>
        <w:trPr>
          <w:trHeight w:val="276" w:hRule="atLeast"/>
        </w:trPr>
        <w:tc>
          <w:tcPr>
            <w:tcW w:w="1432"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67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12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偏移比例</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10%~15%</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10%~15%</w:t>
            </w:r>
          </w:p>
        </w:tc>
      </w:tr>
      <w:tr>
        <w:tblPrEx>
          <w:tblCellMar>
            <w:top w:w="0" w:type="dxa"/>
            <w:left w:w="108" w:type="dxa"/>
            <w:bottom w:w="0" w:type="dxa"/>
            <w:right w:w="108" w:type="dxa"/>
          </w:tblCellMar>
        </w:tblPrEx>
        <w:trPr>
          <w:trHeight w:val="276" w:hRule="atLeast"/>
        </w:trPr>
        <w:tc>
          <w:tcPr>
            <w:tcW w:w="1432"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67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color w:val="000000"/>
                <w:sz w:val="21"/>
                <w:szCs w:val="21"/>
              </w:rPr>
            </w:pPr>
          </w:p>
        </w:tc>
        <w:tc>
          <w:tcPr>
            <w:tcW w:w="12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偏移距离（m）</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25~50</w:t>
            </w:r>
          </w:p>
        </w:tc>
        <w:tc>
          <w:tcPr>
            <w:tcW w:w="832" w:type="pct"/>
            <w:tcBorders>
              <w:top w:val="nil"/>
              <w:left w:val="nil"/>
              <w:bottom w:val="single" w:color="auto" w:sz="4" w:space="0"/>
              <w:right w:val="single" w:color="auto" w:sz="4" w:space="0"/>
            </w:tcBorders>
            <w:shd w:val="clear" w:color="000000" w:fill="FFFFFF"/>
            <w:vAlign w:val="center"/>
          </w:tcPr>
          <w:p>
            <w:pPr>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30~60</w:t>
            </w:r>
          </w:p>
        </w:tc>
      </w:tr>
    </w:tbl>
    <w:p>
      <w:pPr>
        <w:pStyle w:val="3"/>
        <w:numPr>
          <w:ilvl w:val="1"/>
          <w:numId w:val="4"/>
        </w:numPr>
        <w:spacing w:before="156" w:after="163"/>
      </w:pPr>
      <w:bookmarkStart w:id="193" w:name="_Toc756232997"/>
      <w:r>
        <w:t>室内覆盖规划原则</w:t>
      </w:r>
      <w:bookmarkEnd w:id="193"/>
    </w:p>
    <w:p>
      <w:pPr>
        <w:ind w:firstLine="480"/>
      </w:pPr>
      <w:r>
        <w:rPr>
          <w:rFonts w:hint="eastAsia"/>
        </w:rPr>
        <w:t>室内覆盖是移动通信网络深度解决建筑物内部的网络盲区、信号干扰、高层楼宇导频污染的手段；室内室外覆盖采取统一设计解决信号相互干扰；优先客户感知度、高流量、楼宇品牌形象等区域覆盖；实现楼宇无线网络100%覆盖为目标。</w:t>
      </w:r>
    </w:p>
    <w:p>
      <w:pPr>
        <w:ind w:firstLine="0" w:firstLineChars="0"/>
        <w:jc w:val="center"/>
      </w:pPr>
      <w:r>
        <w:rPr>
          <w:rFonts w:hint="eastAsia"/>
        </w:rPr>
        <w:drawing>
          <wp:inline distT="0" distB="0" distL="0" distR="0">
            <wp:extent cx="4990465" cy="2486025"/>
            <wp:effectExtent l="0" t="0" r="635" b="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noChangeArrowheads="true"/>
                    </pic:cNvPicPr>
                  </pic:nvPicPr>
                  <pic:blipFill>
                    <a:blip r:embed="rId25">
                      <a:extLst>
                        <a:ext uri="{28A0092B-C50C-407E-A947-70E740481C1C}">
                          <a14:useLocalDpi xmlns:a14="http://schemas.microsoft.com/office/drawing/2010/main" val="false"/>
                        </a:ext>
                      </a:extLst>
                    </a:blip>
                    <a:srcRect t="-1" b="-7643"/>
                    <a:stretch>
                      <a:fillRect/>
                    </a:stretch>
                  </pic:blipFill>
                  <pic:spPr>
                    <a:xfrm>
                      <a:off x="0" y="0"/>
                      <a:ext cx="4998372" cy="2489922"/>
                    </a:xfrm>
                    <a:prstGeom prst="rect">
                      <a:avLst/>
                    </a:prstGeom>
                    <a:noFill/>
                    <a:ln>
                      <a:noFill/>
                    </a:ln>
                  </pic:spPr>
                </pic:pic>
              </a:graphicData>
            </a:graphic>
          </wp:inline>
        </w:drawing>
      </w:r>
    </w:p>
    <w:p>
      <w:pPr>
        <w:ind w:firstLine="480"/>
      </w:pPr>
      <w:r>
        <w:rPr>
          <w:rFonts w:hint="eastAsia"/>
        </w:rPr>
        <w:t>室内覆盖应用系统主要应用范围</w:t>
      </w:r>
    </w:p>
    <w:p>
      <w:pPr>
        <w:ind w:firstLine="480"/>
      </w:pPr>
      <w:r>
        <w:rPr>
          <w:rFonts w:hint="eastAsia"/>
        </w:rPr>
        <w:t>通过室内覆盖建设有效解决建筑物室内盲区、高话务、高流量、信号干扰、断话、掉话等系列问题。</w:t>
      </w:r>
    </w:p>
    <w:p>
      <w:pPr>
        <w:ind w:firstLine="480"/>
      </w:pPr>
      <w:r>
        <w:rPr>
          <w:rFonts w:hint="eastAsia"/>
        </w:rPr>
        <w:t>室内覆盖主要方案由信号源和信号分布系统两部分组成，综合考虑占用楼宇建设面积，建议由铁塔公司建设室内覆盖天馈系统，运营商合路共用系统。现阶段广泛技术应用主要采纳分布基站BBU+RRU方式建设。</w:t>
      </w:r>
    </w:p>
    <w:p>
      <w:pPr>
        <w:ind w:firstLine="0" w:firstLineChars="0"/>
        <w:jc w:val="center"/>
      </w:pPr>
      <w:r>
        <w:rPr>
          <w:rFonts w:hint="eastAsia"/>
        </w:rPr>
        <w:drawing>
          <wp:inline distT="0" distB="0" distL="0" distR="0">
            <wp:extent cx="3667125" cy="2266315"/>
            <wp:effectExtent l="0" t="0" r="0" b="635"/>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3670856" cy="2268845"/>
                    </a:xfrm>
                    <a:prstGeom prst="rect">
                      <a:avLst/>
                    </a:prstGeom>
                    <a:noFill/>
                    <a:ln>
                      <a:noFill/>
                    </a:ln>
                  </pic:spPr>
                </pic:pic>
              </a:graphicData>
            </a:graphic>
          </wp:inline>
        </w:drawing>
      </w:r>
    </w:p>
    <w:p>
      <w:pPr>
        <w:ind w:firstLine="0" w:firstLineChars="0"/>
        <w:jc w:val="center"/>
      </w:pPr>
      <w:r>
        <w:rPr>
          <w:rFonts w:hint="eastAsia"/>
        </w:rPr>
        <w:t>图5</w:t>
      </w:r>
      <w:r>
        <w:t>.2</w:t>
      </w:r>
      <w:r>
        <w:rPr>
          <w:rFonts w:hint="eastAsia"/>
        </w:rPr>
        <w:t>-</w:t>
      </w:r>
      <w:r>
        <w:t>1</w:t>
      </w:r>
      <w:r>
        <w:rPr>
          <w:rFonts w:hint="eastAsia"/>
        </w:rPr>
        <w:t>单通道室内覆盖BBU+RRU分布简化示意图</w:t>
      </w:r>
    </w:p>
    <w:p>
      <w:pPr>
        <w:ind w:firstLine="0" w:firstLineChars="0"/>
        <w:jc w:val="center"/>
      </w:pPr>
      <w:r>
        <w:rPr>
          <w:rFonts w:hint="eastAsia"/>
        </w:rPr>
        <w:drawing>
          <wp:inline distT="0" distB="0" distL="0" distR="0">
            <wp:extent cx="3219450" cy="2158365"/>
            <wp:effectExtent l="0" t="0" r="0" b="0"/>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3221561" cy="2159994"/>
                    </a:xfrm>
                    <a:prstGeom prst="rect">
                      <a:avLst/>
                    </a:prstGeom>
                    <a:noFill/>
                    <a:ln>
                      <a:noFill/>
                    </a:ln>
                  </pic:spPr>
                </pic:pic>
              </a:graphicData>
            </a:graphic>
          </wp:inline>
        </w:drawing>
      </w:r>
    </w:p>
    <w:p>
      <w:pPr>
        <w:ind w:firstLine="0" w:firstLineChars="0"/>
        <w:jc w:val="center"/>
      </w:pPr>
      <w:r>
        <w:rPr>
          <w:rFonts w:hint="eastAsia"/>
        </w:rPr>
        <w:t>图5</w:t>
      </w:r>
      <w:r>
        <w:t>.2</w:t>
      </w:r>
      <w:r>
        <w:rPr>
          <w:rFonts w:hint="eastAsia"/>
        </w:rPr>
        <w:t>-</w:t>
      </w:r>
      <w:r>
        <w:t>2</w:t>
      </w:r>
      <w:r>
        <w:rPr>
          <w:rFonts w:hint="eastAsia"/>
        </w:rPr>
        <w:t>双通道室内覆盖BBU+RRU分布简化示意图</w:t>
      </w:r>
    </w:p>
    <w:p>
      <w:pPr>
        <w:pStyle w:val="3"/>
        <w:numPr>
          <w:ilvl w:val="1"/>
          <w:numId w:val="4"/>
        </w:numPr>
        <w:spacing w:before="156" w:after="163"/>
      </w:pPr>
      <w:bookmarkStart w:id="194" w:name="_Toc1901237917"/>
      <w:r>
        <w:rPr>
          <w:rFonts w:hint="eastAsia"/>
        </w:rPr>
        <w:t>通信局房规划原则</w:t>
      </w:r>
      <w:bookmarkEnd w:id="194"/>
    </w:p>
    <w:p>
      <w:pPr>
        <w:ind w:firstLine="480"/>
      </w:pPr>
      <w:r>
        <w:rPr>
          <w:rFonts w:hint="eastAsia"/>
        </w:rPr>
        <w:t>选择管线路由丰富，出局方向较多的地点；靠近综合业务接入区中心；选在城区内，与原有汇聚机房保持一定距离；首选机房空间较大、光缆进出局方便、电源保障良好的传输汇聚节点；次选机房空间较大、光缆进出局方便、电源保障良好的基站节点。</w:t>
      </w:r>
    </w:p>
    <w:p>
      <w:pPr>
        <w:pStyle w:val="25"/>
        <w:keepNext/>
        <w:keepLines/>
        <w:numPr>
          <w:ilvl w:val="0"/>
          <w:numId w:val="13"/>
        </w:numPr>
        <w:ind w:firstLineChars="0"/>
        <w:outlineLvl w:val="2"/>
        <w:rPr>
          <w:rFonts w:eastAsia="黑体"/>
          <w:bCs/>
          <w:vanish/>
          <w:sz w:val="28"/>
          <w:szCs w:val="32"/>
        </w:rPr>
      </w:pPr>
      <w:bookmarkStart w:id="195" w:name="_Toc22076701"/>
      <w:bookmarkEnd w:id="195"/>
    </w:p>
    <w:p>
      <w:pPr>
        <w:pStyle w:val="25"/>
        <w:keepNext/>
        <w:keepLines/>
        <w:numPr>
          <w:ilvl w:val="0"/>
          <w:numId w:val="13"/>
        </w:numPr>
        <w:ind w:firstLineChars="0"/>
        <w:outlineLvl w:val="2"/>
        <w:rPr>
          <w:rFonts w:eastAsia="黑体"/>
          <w:bCs/>
          <w:vanish/>
          <w:sz w:val="28"/>
          <w:szCs w:val="32"/>
        </w:rPr>
      </w:pPr>
      <w:bookmarkStart w:id="196" w:name="_Toc22076702"/>
      <w:bookmarkEnd w:id="196"/>
    </w:p>
    <w:p>
      <w:pPr>
        <w:pStyle w:val="25"/>
        <w:keepNext/>
        <w:keepLines/>
        <w:numPr>
          <w:ilvl w:val="0"/>
          <w:numId w:val="13"/>
        </w:numPr>
        <w:ind w:firstLineChars="0"/>
        <w:outlineLvl w:val="2"/>
        <w:rPr>
          <w:rFonts w:eastAsia="黑体"/>
          <w:bCs/>
          <w:vanish/>
          <w:sz w:val="28"/>
          <w:szCs w:val="32"/>
        </w:rPr>
      </w:pPr>
      <w:bookmarkStart w:id="197" w:name="_Toc22076703"/>
      <w:bookmarkEnd w:id="197"/>
    </w:p>
    <w:p>
      <w:pPr>
        <w:pStyle w:val="25"/>
        <w:keepNext/>
        <w:keepLines/>
        <w:numPr>
          <w:ilvl w:val="0"/>
          <w:numId w:val="13"/>
        </w:numPr>
        <w:ind w:firstLineChars="0"/>
        <w:outlineLvl w:val="2"/>
        <w:rPr>
          <w:rFonts w:eastAsia="黑体"/>
          <w:bCs/>
          <w:vanish/>
          <w:sz w:val="28"/>
          <w:szCs w:val="32"/>
        </w:rPr>
      </w:pPr>
      <w:bookmarkStart w:id="198" w:name="_Toc22076704"/>
      <w:bookmarkEnd w:id="198"/>
    </w:p>
    <w:p>
      <w:pPr>
        <w:pStyle w:val="25"/>
        <w:keepNext/>
        <w:keepLines/>
        <w:numPr>
          <w:ilvl w:val="0"/>
          <w:numId w:val="13"/>
        </w:numPr>
        <w:ind w:firstLineChars="0"/>
        <w:outlineLvl w:val="2"/>
        <w:rPr>
          <w:rFonts w:eastAsia="黑体"/>
          <w:bCs/>
          <w:vanish/>
          <w:sz w:val="28"/>
          <w:szCs w:val="32"/>
        </w:rPr>
      </w:pPr>
      <w:bookmarkStart w:id="199" w:name="_Toc22076705"/>
      <w:bookmarkEnd w:id="199"/>
    </w:p>
    <w:p>
      <w:pPr>
        <w:pStyle w:val="25"/>
        <w:keepNext/>
        <w:keepLines/>
        <w:numPr>
          <w:ilvl w:val="1"/>
          <w:numId w:val="13"/>
        </w:numPr>
        <w:ind w:firstLineChars="0"/>
        <w:outlineLvl w:val="2"/>
        <w:rPr>
          <w:rFonts w:eastAsia="黑体"/>
          <w:bCs/>
          <w:vanish/>
          <w:sz w:val="28"/>
          <w:szCs w:val="32"/>
        </w:rPr>
      </w:pPr>
      <w:bookmarkStart w:id="200" w:name="_Toc22076706"/>
      <w:bookmarkEnd w:id="200"/>
    </w:p>
    <w:p>
      <w:pPr>
        <w:pStyle w:val="25"/>
        <w:keepNext/>
        <w:keepLines/>
        <w:numPr>
          <w:ilvl w:val="1"/>
          <w:numId w:val="13"/>
        </w:numPr>
        <w:ind w:firstLineChars="0"/>
        <w:outlineLvl w:val="2"/>
        <w:rPr>
          <w:rFonts w:eastAsia="黑体"/>
          <w:bCs/>
          <w:vanish/>
          <w:sz w:val="28"/>
          <w:szCs w:val="32"/>
        </w:rPr>
      </w:pPr>
      <w:bookmarkStart w:id="201" w:name="_Toc22076707"/>
      <w:bookmarkEnd w:id="201"/>
    </w:p>
    <w:p>
      <w:pPr>
        <w:pStyle w:val="25"/>
        <w:keepNext/>
        <w:keepLines/>
        <w:numPr>
          <w:ilvl w:val="1"/>
          <w:numId w:val="13"/>
        </w:numPr>
        <w:ind w:firstLineChars="0"/>
        <w:outlineLvl w:val="2"/>
        <w:rPr>
          <w:rFonts w:eastAsia="黑体"/>
          <w:bCs/>
          <w:vanish/>
          <w:sz w:val="28"/>
          <w:szCs w:val="32"/>
        </w:rPr>
      </w:pPr>
      <w:bookmarkStart w:id="202" w:name="_Toc22076708"/>
      <w:bookmarkEnd w:id="202"/>
    </w:p>
    <w:p>
      <w:pPr>
        <w:pStyle w:val="4"/>
        <w:numPr>
          <w:ilvl w:val="2"/>
          <w:numId w:val="13"/>
        </w:numPr>
        <w:ind w:firstLineChars="0"/>
      </w:pPr>
      <w:bookmarkStart w:id="203" w:name="_Toc1385258630"/>
      <w:r>
        <w:rPr>
          <w:rFonts w:hint="eastAsia"/>
        </w:rPr>
        <w:t>一般性要求</w:t>
      </w:r>
      <w:bookmarkEnd w:id="203"/>
    </w:p>
    <w:p>
      <w:pPr>
        <w:ind w:firstLine="480"/>
      </w:pPr>
      <w:r>
        <w:rPr>
          <w:rFonts w:hint="eastAsia"/>
        </w:rPr>
        <w:t>通信机房应重点考虑物业点稳定性、传输管道和光缆资源、外市电、机房空间及承重、电源容量及备电等因素，不同等级的通信机房根据业务需要确定具体标准和预留。</w:t>
      </w:r>
    </w:p>
    <w:p>
      <w:pPr>
        <w:ind w:firstLine="480"/>
      </w:pPr>
      <w:r>
        <w:rPr>
          <w:rFonts w:hint="eastAsia"/>
        </w:rPr>
        <w:t>（1）机房位置</w:t>
      </w:r>
    </w:p>
    <w:p>
      <w:pPr>
        <w:ind w:firstLine="480"/>
      </w:pPr>
      <w:r>
        <w:rPr>
          <w:rFonts w:hint="eastAsia"/>
        </w:rPr>
        <w:t>通信机房应根据城市通信网络发展目标，考虑多业务的统一承载要求进行布局，结合地理位置，在通信业务需求多、发展快的密集市区、市区等通信需求较高的区域重点区域选取，并尽量位于其覆盖范围的中心区域，便于各类业务的接入。</w:t>
      </w:r>
    </w:p>
    <w:p>
      <w:pPr>
        <w:ind w:firstLine="480"/>
      </w:pPr>
      <w:r>
        <w:rPr>
          <w:rFonts w:hint="eastAsia"/>
        </w:rPr>
        <w:t>通信机房应设置在地势较高、不易被水淹没、不易渗水的地方；机房周边应有较安全的外部环境和较好的电磁环境。</w:t>
      </w:r>
    </w:p>
    <w:p>
      <w:pPr>
        <w:ind w:firstLine="480"/>
      </w:pPr>
      <w:r>
        <w:rPr>
          <w:rFonts w:hint="eastAsia"/>
        </w:rPr>
        <w:t>（2）物业点稳定性</w:t>
      </w:r>
    </w:p>
    <w:p>
      <w:pPr>
        <w:ind w:firstLine="480"/>
      </w:pPr>
      <w:r>
        <w:rPr>
          <w:rFonts w:hint="eastAsia"/>
        </w:rPr>
        <w:t>通信机房可采用“建、购、租相结合”的原则进行建设，对于新开发区域，则应根据市政规划用地性质，提前预留重点机房用地，或者在新建商业楼宇或市政设施中预留机房位置。</w:t>
      </w:r>
    </w:p>
    <w:p>
      <w:pPr>
        <w:ind w:firstLine="480"/>
      </w:pPr>
      <w:r>
        <w:rPr>
          <w:rFonts w:hint="eastAsia"/>
        </w:rPr>
        <w:t>对于城市建成区，新建重点机房可考虑设置于公园、绿化带、广场等市政设施区域。租用重点机房应考虑物业单位稳定性，确保机房的长期可用，避免机房纠纷、搬迁等。</w:t>
      </w:r>
    </w:p>
    <w:p>
      <w:pPr>
        <w:ind w:firstLine="480"/>
      </w:pPr>
      <w:r>
        <w:rPr>
          <w:rFonts w:hint="eastAsia"/>
        </w:rPr>
        <w:t>（3）传输管道和光缆资源</w:t>
      </w:r>
    </w:p>
    <w:p>
      <w:pPr>
        <w:ind w:firstLine="480"/>
      </w:pPr>
      <w:r>
        <w:rPr>
          <w:rFonts w:hint="eastAsia"/>
        </w:rPr>
        <w:t>通信机房宜选择在交通较为方便的城市干道交汇区域，机房附近应有通信管道或光缆资源，便于通信光缆接入机房，以便于传输网络的组织。</w:t>
      </w:r>
    </w:p>
    <w:p>
      <w:pPr>
        <w:ind w:firstLine="480"/>
      </w:pPr>
      <w:r>
        <w:rPr>
          <w:rFonts w:hint="eastAsia"/>
        </w:rPr>
        <w:t>（4）外市电</w:t>
      </w:r>
    </w:p>
    <w:p>
      <w:pPr>
        <w:ind w:firstLine="480"/>
      </w:pPr>
      <w:r>
        <w:rPr>
          <w:rFonts w:hint="eastAsia"/>
        </w:rPr>
        <w:t>通信机房一般设备较多，保障要求较高，断电影响网络范围较大，因此对外市电要求较高，重点考虑外电引入条件是否能满足机房的需求，优先选择直供电。外市电需引入双路电形成一主一备。容量方面根据业务需求进行核算，并预留业务扩展的需要。</w:t>
      </w:r>
    </w:p>
    <w:p>
      <w:pPr>
        <w:ind w:firstLine="480"/>
      </w:pPr>
      <w:r>
        <w:rPr>
          <w:rFonts w:hint="eastAsia"/>
        </w:rPr>
        <w:t>（5）机房环境及承重</w:t>
      </w:r>
    </w:p>
    <w:p>
      <w:pPr>
        <w:ind w:firstLine="480"/>
      </w:pPr>
      <w:r>
        <w:rPr>
          <w:rFonts w:hint="eastAsia"/>
        </w:rPr>
        <w:t>重点机房设备主要包括无线设备、传输设备、 边缘计算服务器等主设备，以及配线架、配电柜、后备电源、制冷机等配套设备。</w:t>
      </w:r>
    </w:p>
    <w:p>
      <w:pPr>
        <w:ind w:firstLine="480"/>
        <w:rPr>
          <w:rFonts w:ascii="宋体" w:hAnsi="宋体"/>
        </w:rPr>
      </w:pPr>
      <w:r>
        <w:rPr>
          <w:rFonts w:ascii="宋体" w:hAnsi="宋体"/>
        </w:rPr>
        <w:t>a</w:t>
      </w:r>
      <w:r>
        <w:rPr>
          <w:rFonts w:hint="eastAsia" w:ascii="宋体" w:hAnsi="宋体"/>
        </w:rPr>
        <w:t>）温湿度、气压条件：</w:t>
      </w:r>
    </w:p>
    <w:p>
      <w:pPr>
        <w:ind w:left="874" w:firstLine="480"/>
        <w:jc w:val="center"/>
        <w:rPr>
          <w:szCs w:val="21"/>
        </w:rPr>
      </w:pPr>
      <w:r>
        <w:rPr>
          <w:rFonts w:hint="eastAsia" w:asciiTheme="minorEastAsia" w:hAnsiTheme="minorEastAsia"/>
          <w:szCs w:val="21"/>
        </w:rPr>
        <w:t>表</w:t>
      </w:r>
      <w:r>
        <w:rPr>
          <w:rFonts w:asciiTheme="minorEastAsia" w:hAnsiTheme="minorEastAsia"/>
          <w:szCs w:val="21"/>
        </w:rPr>
        <w:fldChar w:fldCharType="begin"/>
      </w:r>
      <w:r>
        <w:rPr>
          <w:rFonts w:asciiTheme="minorEastAsia" w:hAnsiTheme="minorEastAsia"/>
          <w:szCs w:val="21"/>
        </w:rPr>
        <w:instrText xml:space="preserve"> STYLEREF 2 \s </w:instrText>
      </w:r>
      <w:r>
        <w:rPr>
          <w:rFonts w:asciiTheme="minorEastAsia" w:hAnsiTheme="minorEastAsia"/>
          <w:szCs w:val="21"/>
        </w:rPr>
        <w:fldChar w:fldCharType="separate"/>
      </w:r>
      <w:r>
        <w:rPr>
          <w:rFonts w:asciiTheme="minorEastAsia" w:hAnsiTheme="minorEastAsia"/>
          <w:szCs w:val="21"/>
        </w:rPr>
        <w:t>3</w:t>
      </w:r>
      <w:r>
        <w:rPr>
          <w:rFonts w:asciiTheme="minorEastAsia" w:hAnsiTheme="minorEastAsia"/>
          <w:szCs w:val="21"/>
        </w:rPr>
        <w:fldChar w:fldCharType="end"/>
      </w:r>
      <w:r>
        <w:rPr>
          <w:rFonts w:asciiTheme="minorEastAsia" w:hAnsiTheme="minorEastAsia"/>
          <w:szCs w:val="21"/>
        </w:rPr>
        <w:noBreakHyphen/>
      </w:r>
      <w:r>
        <w:rPr>
          <w:rFonts w:asciiTheme="minorEastAsia" w:hAnsiTheme="minorEastAsia"/>
          <w:szCs w:val="21"/>
        </w:rPr>
        <w:fldChar w:fldCharType="begin"/>
      </w:r>
      <w:r>
        <w:rPr>
          <w:rFonts w:asciiTheme="minorEastAsia" w:hAnsiTheme="minorEastAsia"/>
          <w:szCs w:val="21"/>
        </w:rPr>
        <w:instrText xml:space="preserve"> SEQ </w:instrText>
      </w:r>
      <w:r>
        <w:rPr>
          <w:rFonts w:hint="eastAsia" w:asciiTheme="minorEastAsia" w:hAnsiTheme="minorEastAsia"/>
          <w:szCs w:val="21"/>
        </w:rPr>
        <w:instrText xml:space="preserve">表</w:instrText>
      </w:r>
      <w:r>
        <w:rPr>
          <w:rFonts w:asciiTheme="minorEastAsia" w:hAnsiTheme="minorEastAsia"/>
          <w:szCs w:val="21"/>
        </w:rPr>
        <w:instrText xml:space="preserve"> \* ARABIC \s 2 </w:instrText>
      </w:r>
      <w:r>
        <w:rPr>
          <w:rFonts w:asciiTheme="minorEastAsia" w:hAnsiTheme="minorEastAsia"/>
          <w:szCs w:val="21"/>
        </w:rPr>
        <w:fldChar w:fldCharType="separate"/>
      </w:r>
      <w:r>
        <w:rPr>
          <w:rFonts w:asciiTheme="minorEastAsia" w:hAnsiTheme="minorEastAsia"/>
          <w:szCs w:val="21"/>
        </w:rPr>
        <w:t>1</w:t>
      </w:r>
      <w:r>
        <w:rPr>
          <w:rFonts w:asciiTheme="minorEastAsia" w:hAnsiTheme="minorEastAsia"/>
          <w:szCs w:val="21"/>
        </w:rPr>
        <w:fldChar w:fldCharType="end"/>
      </w:r>
      <w:r>
        <w:rPr>
          <w:rFonts w:asciiTheme="minorEastAsia" w:hAnsiTheme="minorEastAsia"/>
          <w:szCs w:val="21"/>
        </w:rPr>
        <w:t xml:space="preserve"> </w:t>
      </w:r>
      <w:r>
        <w:rPr>
          <w:rFonts w:hint="eastAsia" w:asciiTheme="minorEastAsia" w:hAnsiTheme="minorEastAsia"/>
          <w:szCs w:val="21"/>
        </w:rPr>
        <w:t>机房温湿度、气压条件</w:t>
      </w:r>
      <w:r>
        <w:rPr>
          <w:rFonts w:hint="eastAsia"/>
          <w:szCs w:val="21"/>
        </w:rPr>
        <w:t>表</w:t>
      </w:r>
    </w:p>
    <w:tbl>
      <w:tblPr>
        <w:tblStyle w:val="17"/>
        <w:tblW w:w="0" w:type="auto"/>
        <w:jc w:val="center"/>
        <w:tblLayout w:type="fixed"/>
        <w:tblCellMar>
          <w:top w:w="0" w:type="dxa"/>
          <w:left w:w="108" w:type="dxa"/>
          <w:bottom w:w="0" w:type="dxa"/>
          <w:right w:w="108" w:type="dxa"/>
        </w:tblCellMar>
      </w:tblPr>
      <w:tblGrid>
        <w:gridCol w:w="2779"/>
        <w:gridCol w:w="2491"/>
        <w:gridCol w:w="3057"/>
      </w:tblGrid>
      <w:tr>
        <w:tblPrEx>
          <w:tblCellMar>
            <w:top w:w="0" w:type="dxa"/>
            <w:left w:w="108" w:type="dxa"/>
            <w:bottom w:w="0" w:type="dxa"/>
            <w:right w:w="108" w:type="dxa"/>
          </w:tblCellMar>
        </w:tblPrEx>
        <w:trPr>
          <w:trHeight w:val="330" w:hRule="atLeast"/>
          <w:tblHeader/>
          <w:jc w:val="center"/>
        </w:trPr>
        <w:tc>
          <w:tcPr>
            <w:tcW w:w="277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环境参数</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单位</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允许值</w:t>
            </w:r>
          </w:p>
        </w:tc>
      </w:tr>
      <w:tr>
        <w:tblPrEx>
          <w:tblCellMar>
            <w:top w:w="0" w:type="dxa"/>
            <w:left w:w="108" w:type="dxa"/>
            <w:bottom w:w="0" w:type="dxa"/>
            <w:right w:w="108" w:type="dxa"/>
          </w:tblCellMar>
        </w:tblPrEx>
        <w:trPr>
          <w:trHeight w:val="330" w:hRule="atLeast"/>
          <w:jc w:val="center"/>
        </w:trPr>
        <w:tc>
          <w:tcPr>
            <w:tcW w:w="277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低温</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≥-5</w:t>
            </w:r>
          </w:p>
        </w:tc>
      </w:tr>
      <w:tr>
        <w:tblPrEx>
          <w:tblCellMar>
            <w:top w:w="0" w:type="dxa"/>
            <w:left w:w="108" w:type="dxa"/>
            <w:bottom w:w="0" w:type="dxa"/>
            <w:right w:w="108" w:type="dxa"/>
          </w:tblCellMar>
        </w:tblPrEx>
        <w:trPr>
          <w:trHeight w:val="330" w:hRule="atLeast"/>
          <w:jc w:val="center"/>
        </w:trPr>
        <w:tc>
          <w:tcPr>
            <w:tcW w:w="277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高温</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≤+45</w:t>
            </w:r>
          </w:p>
        </w:tc>
      </w:tr>
      <w:tr>
        <w:tblPrEx>
          <w:tblCellMar>
            <w:top w:w="0" w:type="dxa"/>
            <w:left w:w="108" w:type="dxa"/>
            <w:bottom w:w="0" w:type="dxa"/>
            <w:right w:w="108" w:type="dxa"/>
          </w:tblCellMar>
        </w:tblPrEx>
        <w:trPr>
          <w:trHeight w:val="330" w:hRule="atLeast"/>
          <w:jc w:val="center"/>
        </w:trPr>
        <w:tc>
          <w:tcPr>
            <w:tcW w:w="277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高相对湿度</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≤90</w:t>
            </w:r>
          </w:p>
        </w:tc>
      </w:tr>
      <w:tr>
        <w:tblPrEx>
          <w:tblCellMar>
            <w:top w:w="0" w:type="dxa"/>
            <w:left w:w="108" w:type="dxa"/>
            <w:bottom w:w="0" w:type="dxa"/>
            <w:right w:w="108" w:type="dxa"/>
          </w:tblCellMar>
        </w:tblPrEx>
        <w:trPr>
          <w:trHeight w:val="330" w:hRule="atLeast"/>
          <w:jc w:val="center"/>
        </w:trPr>
        <w:tc>
          <w:tcPr>
            <w:tcW w:w="277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低气压</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kPa</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≥70</w:t>
            </w:r>
          </w:p>
        </w:tc>
      </w:tr>
      <w:tr>
        <w:tblPrEx>
          <w:tblCellMar>
            <w:top w:w="0" w:type="dxa"/>
            <w:left w:w="108" w:type="dxa"/>
            <w:bottom w:w="0" w:type="dxa"/>
            <w:right w:w="108" w:type="dxa"/>
          </w:tblCellMar>
        </w:tblPrEx>
        <w:trPr>
          <w:trHeight w:val="330" w:hRule="atLeast"/>
          <w:jc w:val="center"/>
        </w:trPr>
        <w:tc>
          <w:tcPr>
            <w:tcW w:w="277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高气压</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kPa</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≤106</w:t>
            </w:r>
          </w:p>
        </w:tc>
      </w:tr>
    </w:tbl>
    <w:p>
      <w:pPr>
        <w:ind w:firstLine="480"/>
        <w:rPr>
          <w:rFonts w:ascii="宋体" w:hAnsi="宋体"/>
        </w:rPr>
      </w:pPr>
      <w:r>
        <w:rPr>
          <w:rFonts w:hint="eastAsia" w:ascii="宋体" w:hAnsi="宋体"/>
        </w:rPr>
        <w:t>经空气调节房间的室内温度应为18～28℃，相对湿度应为30％～75％。</w:t>
      </w:r>
    </w:p>
    <w:p>
      <w:pPr>
        <w:ind w:firstLine="480"/>
        <w:rPr>
          <w:rFonts w:ascii="宋体" w:hAnsi="宋体"/>
        </w:rPr>
      </w:pPr>
      <w:r>
        <w:rPr>
          <w:rFonts w:ascii="宋体" w:hAnsi="宋体"/>
        </w:rPr>
        <w:t>b</w:t>
      </w:r>
      <w:r>
        <w:rPr>
          <w:rFonts w:hint="eastAsia" w:ascii="宋体" w:hAnsi="宋体"/>
        </w:rPr>
        <w:t>）洁净度条件：</w:t>
      </w:r>
    </w:p>
    <w:p>
      <w:pPr>
        <w:ind w:left="874" w:firstLine="480"/>
        <w:jc w:val="center"/>
        <w:rPr>
          <w:rFonts w:asciiTheme="minorEastAsia" w:hAnsiTheme="minorEastAsia"/>
          <w:szCs w:val="21"/>
        </w:rPr>
      </w:pPr>
      <w:r>
        <w:rPr>
          <w:rFonts w:hint="eastAsia" w:asciiTheme="minorEastAsia" w:hAnsiTheme="minorEastAsia"/>
          <w:szCs w:val="21"/>
        </w:rPr>
        <w:t>表</w:t>
      </w:r>
      <w:r>
        <w:rPr>
          <w:rFonts w:asciiTheme="minorEastAsia" w:hAnsiTheme="minorEastAsia"/>
          <w:szCs w:val="21"/>
        </w:rPr>
        <w:fldChar w:fldCharType="begin"/>
      </w:r>
      <w:r>
        <w:rPr>
          <w:rFonts w:asciiTheme="minorEastAsia" w:hAnsiTheme="minorEastAsia"/>
          <w:szCs w:val="21"/>
        </w:rPr>
        <w:instrText xml:space="preserve"> STYLEREF 2 \s </w:instrText>
      </w:r>
      <w:r>
        <w:rPr>
          <w:rFonts w:asciiTheme="minorEastAsia" w:hAnsiTheme="minorEastAsia"/>
          <w:szCs w:val="21"/>
        </w:rPr>
        <w:fldChar w:fldCharType="separate"/>
      </w:r>
      <w:r>
        <w:rPr>
          <w:rFonts w:asciiTheme="minorEastAsia" w:hAnsiTheme="minorEastAsia"/>
          <w:szCs w:val="21"/>
        </w:rPr>
        <w:t>3</w:t>
      </w:r>
      <w:r>
        <w:rPr>
          <w:rFonts w:asciiTheme="minorEastAsia" w:hAnsiTheme="minorEastAsia"/>
          <w:szCs w:val="21"/>
        </w:rPr>
        <w:fldChar w:fldCharType="end"/>
      </w:r>
      <w:r>
        <w:rPr>
          <w:rFonts w:asciiTheme="minorEastAsia" w:hAnsiTheme="minorEastAsia"/>
          <w:szCs w:val="21"/>
        </w:rPr>
        <w:noBreakHyphen/>
      </w:r>
      <w:r>
        <w:rPr>
          <w:rFonts w:asciiTheme="minorEastAsia" w:hAnsiTheme="minorEastAsia"/>
          <w:szCs w:val="21"/>
        </w:rPr>
        <w:fldChar w:fldCharType="begin"/>
      </w:r>
      <w:r>
        <w:rPr>
          <w:rFonts w:asciiTheme="minorEastAsia" w:hAnsiTheme="minorEastAsia"/>
          <w:szCs w:val="21"/>
        </w:rPr>
        <w:instrText xml:space="preserve"> SEQ </w:instrText>
      </w:r>
      <w:r>
        <w:rPr>
          <w:rFonts w:hint="eastAsia" w:asciiTheme="minorEastAsia" w:hAnsiTheme="minorEastAsia"/>
          <w:szCs w:val="21"/>
        </w:rPr>
        <w:instrText xml:space="preserve">表</w:instrText>
      </w:r>
      <w:r>
        <w:rPr>
          <w:rFonts w:asciiTheme="minorEastAsia" w:hAnsiTheme="minorEastAsia"/>
          <w:szCs w:val="21"/>
        </w:rPr>
        <w:instrText xml:space="preserve"> \* ARABIC \s 2 </w:instrText>
      </w:r>
      <w:r>
        <w:rPr>
          <w:rFonts w:asciiTheme="minorEastAsia" w:hAnsiTheme="minorEastAsia"/>
          <w:szCs w:val="21"/>
        </w:rPr>
        <w:fldChar w:fldCharType="separate"/>
      </w:r>
      <w:r>
        <w:rPr>
          <w:rFonts w:asciiTheme="minorEastAsia" w:hAnsiTheme="minorEastAsia"/>
          <w:szCs w:val="21"/>
        </w:rPr>
        <w:t>2</w:t>
      </w:r>
      <w:r>
        <w:rPr>
          <w:rFonts w:asciiTheme="minorEastAsia" w:hAnsiTheme="minorEastAsia"/>
          <w:szCs w:val="21"/>
        </w:rPr>
        <w:fldChar w:fldCharType="end"/>
      </w:r>
      <w:r>
        <w:rPr>
          <w:rFonts w:asciiTheme="minorEastAsia" w:hAnsiTheme="minorEastAsia"/>
          <w:szCs w:val="21"/>
        </w:rPr>
        <w:t xml:space="preserve"> </w:t>
      </w:r>
      <w:r>
        <w:rPr>
          <w:rFonts w:hint="eastAsia" w:asciiTheme="minorEastAsia" w:hAnsiTheme="minorEastAsia"/>
          <w:szCs w:val="21"/>
        </w:rPr>
        <w:t>机房洁净度条件表</w:t>
      </w:r>
    </w:p>
    <w:tbl>
      <w:tblPr>
        <w:tblStyle w:val="17"/>
        <w:tblW w:w="8369" w:type="dxa"/>
        <w:jc w:val="center"/>
        <w:tblLayout w:type="fixed"/>
        <w:tblCellMar>
          <w:top w:w="0" w:type="dxa"/>
          <w:left w:w="108" w:type="dxa"/>
          <w:bottom w:w="0" w:type="dxa"/>
          <w:right w:w="108" w:type="dxa"/>
        </w:tblCellMar>
      </w:tblPr>
      <w:tblGrid>
        <w:gridCol w:w="2821"/>
        <w:gridCol w:w="2491"/>
        <w:gridCol w:w="3057"/>
      </w:tblGrid>
      <w:tr>
        <w:tblPrEx>
          <w:tblCellMar>
            <w:top w:w="0" w:type="dxa"/>
            <w:left w:w="108" w:type="dxa"/>
            <w:bottom w:w="0" w:type="dxa"/>
            <w:right w:w="108" w:type="dxa"/>
          </w:tblCellMar>
        </w:tblPrEx>
        <w:trPr>
          <w:trHeight w:val="330" w:hRule="atLeast"/>
          <w:jc w:val="center"/>
        </w:trPr>
        <w:tc>
          <w:tcPr>
            <w:tcW w:w="28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环境参数</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单位</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条件</w:t>
            </w:r>
            <w:r>
              <w:t>(</w:t>
            </w:r>
            <w:r>
              <w:rPr>
                <w:rFonts w:hint="eastAsia"/>
              </w:rPr>
              <w:t>允许值</w:t>
            </w:r>
            <w:r>
              <w:t>)</w:t>
            </w:r>
          </w:p>
        </w:tc>
      </w:tr>
      <w:tr>
        <w:tblPrEx>
          <w:tblCellMar>
            <w:top w:w="0" w:type="dxa"/>
            <w:left w:w="108" w:type="dxa"/>
            <w:bottom w:w="0" w:type="dxa"/>
            <w:right w:w="108" w:type="dxa"/>
          </w:tblCellMar>
        </w:tblPrEx>
        <w:trPr>
          <w:trHeight w:val="330" w:hRule="atLeast"/>
          <w:jc w:val="center"/>
        </w:trPr>
        <w:tc>
          <w:tcPr>
            <w:tcW w:w="28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尘（飘浮）</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mg/m3</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≤0.1</w:t>
            </w:r>
          </w:p>
        </w:tc>
      </w:tr>
      <w:tr>
        <w:tblPrEx>
          <w:tblCellMar>
            <w:top w:w="0" w:type="dxa"/>
            <w:left w:w="108" w:type="dxa"/>
            <w:bottom w:w="0" w:type="dxa"/>
            <w:right w:w="108" w:type="dxa"/>
          </w:tblCellMar>
        </w:tblPrEx>
        <w:trPr>
          <w:trHeight w:val="330" w:hRule="atLeast"/>
          <w:jc w:val="center"/>
        </w:trPr>
        <w:tc>
          <w:tcPr>
            <w:tcW w:w="28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rPr>
                <w:rFonts w:hint="eastAsia"/>
              </w:rPr>
              <w:t>尘（沉积）</w:t>
            </w:r>
          </w:p>
        </w:tc>
        <w:tc>
          <w:tcPr>
            <w:tcW w:w="249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mg/(m2*d)</w:t>
            </w:r>
          </w:p>
        </w:tc>
        <w:tc>
          <w:tcPr>
            <w:tcW w:w="30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pPr>
            <w:r>
              <w:t>≤360</w:t>
            </w:r>
          </w:p>
        </w:tc>
      </w:tr>
    </w:tbl>
    <w:p>
      <w:pPr>
        <w:ind w:firstLine="480"/>
        <w:rPr>
          <w:rFonts w:ascii="宋体" w:hAnsi="宋体"/>
        </w:rPr>
      </w:pPr>
      <w:r>
        <w:rPr>
          <w:rFonts w:ascii="宋体" w:hAnsi="宋体"/>
        </w:rPr>
        <w:t>c</w:t>
      </w:r>
      <w:r>
        <w:rPr>
          <w:rFonts w:hint="eastAsia" w:ascii="宋体" w:hAnsi="宋体"/>
        </w:rPr>
        <w:t>) 机房净高：宜为3.0米，不得低于2.8米；</w:t>
      </w:r>
    </w:p>
    <w:p>
      <w:pPr>
        <w:ind w:firstLine="480"/>
        <w:rPr>
          <w:rFonts w:ascii="宋体" w:hAnsi="宋体"/>
        </w:rPr>
      </w:pPr>
      <w:r>
        <w:rPr>
          <w:rFonts w:ascii="宋体" w:hAnsi="宋体"/>
        </w:rPr>
        <w:t>d</w:t>
      </w:r>
      <w:r>
        <w:rPr>
          <w:rFonts w:hint="eastAsia" w:ascii="宋体" w:hAnsi="宋体"/>
        </w:rPr>
        <w:t>) 机房承重：通信机房设计活荷载应不小于6</w:t>
      </w:r>
      <w:r>
        <w:rPr>
          <w:rFonts w:ascii="宋体" w:hAnsi="宋体"/>
        </w:rPr>
        <w:t>.0KN</w:t>
      </w:r>
      <w:r>
        <w:rPr>
          <w:rFonts w:hint="eastAsia" w:ascii="宋体" w:hAnsi="宋体"/>
        </w:rPr>
        <w:t>/</w:t>
      </w:r>
      <w:r>
        <w:rPr>
          <w:rFonts w:ascii="宋体" w:hAnsi="宋体"/>
        </w:rPr>
        <w:t>m2,蓄电池等设备安装位置应根据实际荷载考虑加固方式</w:t>
      </w:r>
      <w:r>
        <w:rPr>
          <w:rFonts w:hint="eastAsia" w:ascii="宋体" w:hAnsi="宋体"/>
        </w:rPr>
        <w:t>。</w:t>
      </w:r>
    </w:p>
    <w:p>
      <w:pPr>
        <w:ind w:firstLine="480"/>
      </w:pPr>
      <w:r>
        <w:rPr>
          <w:rFonts w:hint="eastAsia"/>
        </w:rPr>
        <w:t>（6）电源容量及备电</w:t>
      </w:r>
    </w:p>
    <w:p>
      <w:pPr>
        <w:ind w:firstLine="480"/>
        <w:rPr>
          <w:rFonts w:ascii="宋体" w:hAnsi="宋体"/>
        </w:rPr>
      </w:pPr>
      <w:bookmarkStart w:id="204" w:name="_Toc18422590"/>
      <w:bookmarkEnd w:id="204"/>
      <w:bookmarkStart w:id="205" w:name="_Toc16196363"/>
      <w:bookmarkEnd w:id="205"/>
      <w:bookmarkStart w:id="206" w:name="_Toc16196547"/>
      <w:bookmarkEnd w:id="206"/>
      <w:bookmarkStart w:id="207" w:name="_Toc16196455"/>
      <w:bookmarkEnd w:id="207"/>
      <w:bookmarkStart w:id="208" w:name="_Toc427231752"/>
      <w:bookmarkStart w:id="209" w:name="_Toc427223743"/>
      <w:bookmarkStart w:id="210" w:name="_Toc472350918"/>
      <w:r>
        <w:rPr>
          <w:rFonts w:hint="eastAsia" w:ascii="宋体" w:hAnsi="宋体"/>
        </w:rPr>
        <w:t>通信局房局址应选择供电条件便利的地区，核心局所采用双重电源供电，重点汇聚机房采用双回路供电；</w:t>
      </w:r>
    </w:p>
    <w:p>
      <w:pPr>
        <w:ind w:firstLine="480"/>
        <w:rPr>
          <w:rFonts w:ascii="宋体" w:hAnsi="宋体"/>
        </w:rPr>
      </w:pPr>
      <w:r>
        <w:rPr>
          <w:rFonts w:hint="eastAsia" w:ascii="宋体" w:hAnsi="宋体"/>
        </w:rPr>
        <w:t>通信局所应根据规划用途和建筑规划确定市电供电等级要求，对与数据中心等性质机房应重点考虑，保证电力供应；</w:t>
      </w:r>
    </w:p>
    <w:p>
      <w:pPr>
        <w:ind w:firstLine="480"/>
        <w:rPr>
          <w:rFonts w:ascii="宋体" w:hAnsi="宋体"/>
        </w:rPr>
      </w:pPr>
      <w:r>
        <w:rPr>
          <w:rFonts w:hint="eastAsia" w:ascii="宋体" w:hAnsi="宋体"/>
        </w:rPr>
        <w:t>通信局所用地规模按照机房终局容量进行测算，并充分考虑单机架用电负荷增长趋势。</w:t>
      </w:r>
    </w:p>
    <w:p>
      <w:pPr>
        <w:ind w:firstLine="480"/>
        <w:rPr>
          <w:rFonts w:ascii="宋体" w:hAnsi="宋体"/>
        </w:rPr>
      </w:pPr>
      <w:r>
        <w:rPr>
          <w:rFonts w:hint="eastAsia" w:ascii="宋体" w:hAnsi="宋体"/>
        </w:rPr>
        <w:t>（7）应急用电</w:t>
      </w:r>
    </w:p>
    <w:p>
      <w:pPr>
        <w:ind w:firstLine="480"/>
        <w:rPr>
          <w:rFonts w:hint="eastAsia" w:ascii="宋体" w:hAnsi="宋体"/>
        </w:rPr>
      </w:pPr>
      <w:r>
        <w:rPr>
          <w:rFonts w:hint="eastAsia" w:ascii="宋体" w:hAnsi="宋体"/>
        </w:rPr>
        <w:t>通信局房应考虑油机发电等应急方案；通信机房应根据外市电情况，考虑预留油机房或油机接口。</w:t>
      </w:r>
    </w:p>
    <w:p>
      <w:pPr>
        <w:pStyle w:val="4"/>
        <w:numPr>
          <w:ilvl w:val="2"/>
          <w:numId w:val="13"/>
        </w:numPr>
        <w:ind w:firstLineChars="0"/>
      </w:pPr>
      <w:bookmarkStart w:id="211" w:name="_Toc407884285"/>
      <w:r>
        <w:rPr>
          <w:rFonts w:hint="eastAsia"/>
        </w:rPr>
        <w:t>汇聚机房规划思路和原则</w:t>
      </w:r>
      <w:bookmarkEnd w:id="208"/>
      <w:bookmarkEnd w:id="209"/>
      <w:bookmarkEnd w:id="210"/>
      <w:bookmarkEnd w:id="211"/>
    </w:p>
    <w:p>
      <w:pPr>
        <w:ind w:firstLine="480"/>
      </w:pPr>
      <w:r>
        <w:rPr>
          <w:rFonts w:hint="eastAsia"/>
        </w:rPr>
        <w:t>汇聚机房面积需求测算应综合考虑所在汇聚区业务量、接入主干组网模式、设备组网模式对机房装机面积的影响，适当考虑空间预留，以满足长期发展需求。</w:t>
      </w:r>
    </w:p>
    <w:p>
      <w:pPr>
        <w:ind w:firstLine="480"/>
      </w:pPr>
      <w:r>
        <w:rPr>
          <w:rFonts w:hint="eastAsia"/>
        </w:rPr>
        <w:t>汇聚机房应充分利用现有机房，并与其他生产用房、营业用房等统筹考虑。</w:t>
      </w:r>
    </w:p>
    <w:p>
      <w:pPr>
        <w:ind w:firstLine="480"/>
      </w:pPr>
      <w:r>
        <w:rPr>
          <w:rFonts w:hint="eastAsia"/>
        </w:rPr>
        <w:t>汇聚机房应兼做所在综合接入区的综合接入点，其机房使用面积应统筹考虑。</w:t>
      </w:r>
    </w:p>
    <w:p>
      <w:pPr>
        <w:ind w:firstLine="480"/>
      </w:pPr>
      <w:r>
        <w:rPr>
          <w:rFonts w:hint="eastAsia"/>
        </w:rPr>
        <w:t>新增汇聚机房使用面积建议不小于</w:t>
      </w:r>
      <w:r>
        <w:t>300</w:t>
      </w:r>
      <w:r>
        <w:rPr>
          <w:rFonts w:hint="eastAsia"/>
        </w:rPr>
        <w:t>平米/</w:t>
      </w:r>
      <w:r>
        <w:t>运营商</w:t>
      </w:r>
      <w:r>
        <w:rPr>
          <w:rFonts w:hint="eastAsia"/>
        </w:rPr>
        <w:t>；选址可参考以下原则：</w:t>
      </w:r>
    </w:p>
    <w:p>
      <w:pPr>
        <w:ind w:firstLine="480"/>
      </w:pPr>
      <w:r>
        <w:rPr>
          <w:rFonts w:hint="eastAsia"/>
        </w:rPr>
        <w:t>机房位置应利于业务汇聚，并充分考虑地理位置、道路分布、管道光缆等资源状况，避免出现孤岛或单路由等传输安全问题；</w:t>
      </w:r>
    </w:p>
    <w:p>
      <w:pPr>
        <w:ind w:firstLine="480"/>
      </w:pPr>
      <w:r>
        <w:rPr>
          <w:rFonts w:hint="eastAsia"/>
        </w:rPr>
        <w:t>（1）选择机房楼层应考虑防洪要求，机房选用二层及以上楼层时，机房充分考虑建筑层高及承重、光缆通道、维护通道、消防通道等因素；</w:t>
      </w:r>
    </w:p>
    <w:p>
      <w:pPr>
        <w:ind w:firstLine="480"/>
      </w:pPr>
      <w:r>
        <w:rPr>
          <w:rFonts w:hint="eastAsia"/>
        </w:rPr>
        <w:t>（2）机房平面尽可能具有通用性，宜以矩形为主；</w:t>
      </w:r>
    </w:p>
    <w:p>
      <w:pPr>
        <w:ind w:firstLine="480"/>
      </w:pPr>
      <w:r>
        <w:rPr>
          <w:rFonts w:hint="eastAsia"/>
        </w:rPr>
        <w:t>（3）具备外电引入条件及移动油机发电条件，并有各方面安全保证等；</w:t>
      </w:r>
    </w:p>
    <w:p>
      <w:pPr>
        <w:ind w:firstLine="480"/>
      </w:pPr>
      <w:r>
        <w:rPr>
          <w:rFonts w:hint="eastAsia"/>
        </w:rPr>
        <w:t>（4）机房应考虑安全性、稳定性。</w:t>
      </w:r>
    </w:p>
    <w:p>
      <w:pPr>
        <w:pStyle w:val="4"/>
        <w:numPr>
          <w:ilvl w:val="2"/>
          <w:numId w:val="13"/>
        </w:numPr>
        <w:ind w:firstLineChars="0"/>
      </w:pPr>
      <w:bookmarkStart w:id="212" w:name="_Toc427231753"/>
      <w:bookmarkStart w:id="213" w:name="_Toc472350919"/>
      <w:bookmarkStart w:id="214" w:name="_Toc427223744"/>
      <w:bookmarkStart w:id="215" w:name="_Toc714208885"/>
      <w:r>
        <w:rPr>
          <w:rFonts w:hint="eastAsia"/>
        </w:rPr>
        <w:t>综合业务接入机房规划思路和原则</w:t>
      </w:r>
      <w:bookmarkEnd w:id="212"/>
      <w:bookmarkEnd w:id="213"/>
      <w:bookmarkEnd w:id="214"/>
      <w:bookmarkEnd w:id="215"/>
      <w:r>
        <w:rPr>
          <w:rFonts w:hint="eastAsia"/>
        </w:rPr>
        <w:t xml:space="preserve"> </w:t>
      </w:r>
    </w:p>
    <w:p>
      <w:pPr>
        <w:ind w:firstLine="480"/>
      </w:pPr>
      <w:r>
        <w:rPr>
          <w:rFonts w:hint="eastAsia"/>
        </w:rPr>
        <w:t>综合业务接入区内需设置综合业务接入点机房数量，与区内业务量、机房面积条件、接入主干光缆建设模式等关系密切。</w:t>
      </w:r>
    </w:p>
    <w:p>
      <w:pPr>
        <w:ind w:firstLine="480"/>
      </w:pPr>
      <w:r>
        <w:rPr>
          <w:rFonts w:hint="eastAsia"/>
        </w:rPr>
        <w:t>综合业务接入点机房面积需求测算，应综合考虑所在综合业务接入区业务量、接入主干组网模式、设备组网模式对机房装机面积的要求，适当考虑空间预留，以满足长期发展需求。</w:t>
      </w:r>
    </w:p>
    <w:p>
      <w:pPr>
        <w:pStyle w:val="3"/>
        <w:numPr>
          <w:ilvl w:val="1"/>
          <w:numId w:val="4"/>
        </w:numPr>
        <w:spacing w:before="156" w:after="163"/>
      </w:pPr>
      <w:bookmarkStart w:id="216" w:name="_Toc1265194913"/>
      <w:r>
        <w:rPr>
          <w:rFonts w:hint="eastAsia"/>
        </w:rPr>
        <w:t>通信管道规划原则</w:t>
      </w:r>
      <w:bookmarkEnd w:id="216"/>
    </w:p>
    <w:p>
      <w:pPr>
        <w:ind w:firstLine="480"/>
      </w:pPr>
      <w:r>
        <w:rPr>
          <w:rFonts w:hint="eastAsia"/>
        </w:rPr>
        <w:t>（</w:t>
      </w:r>
      <w:r>
        <w:t>1</w:t>
      </w:r>
      <w:r>
        <w:rPr>
          <w:rFonts w:hint="eastAsia"/>
        </w:rPr>
        <w:t>）管道作为城市基础设施之一，规划建设需满足国家及地方市政设施建设的相关规定。</w:t>
      </w:r>
    </w:p>
    <w:p>
      <w:pPr>
        <w:ind w:firstLine="480"/>
      </w:pPr>
      <w:r>
        <w:rPr>
          <w:rFonts w:hint="eastAsia"/>
        </w:rPr>
        <w:t>（2）利用道路或建筑物的新建、改建机会，积极跟进管道建设，不断提高管道覆盖率。</w:t>
      </w:r>
    </w:p>
    <w:p>
      <w:pPr>
        <w:ind w:firstLine="480"/>
      </w:pPr>
      <w:r>
        <w:rPr>
          <w:rFonts w:hint="eastAsia"/>
        </w:rPr>
        <w:t>（</w:t>
      </w:r>
      <w:r>
        <w:t>3</w:t>
      </w:r>
      <w:r>
        <w:rPr>
          <w:rFonts w:hint="eastAsia"/>
        </w:rPr>
        <w:t>）管道工程设计使用寿命应大于50年，简易管道设计使用寿命应大于15年。</w:t>
      </w:r>
    </w:p>
    <w:p>
      <w:pPr>
        <w:ind w:firstLine="480"/>
      </w:pPr>
      <w:r>
        <w:rPr>
          <w:rFonts w:hint="eastAsia"/>
        </w:rPr>
        <w:t>（</w:t>
      </w:r>
      <w:r>
        <w:t>4</w:t>
      </w:r>
      <w:r>
        <w:rPr>
          <w:rFonts w:hint="eastAsia"/>
        </w:rPr>
        <w:t>）管道建设应积极采用共建共享方式，减少重复建设，降低投资造价。有条件情况下需分设共建管道的人（手）孔。</w:t>
      </w:r>
    </w:p>
    <w:p>
      <w:pPr>
        <w:ind w:firstLine="480"/>
        <w:rPr>
          <w:rFonts w:hint="eastAsia"/>
        </w:rPr>
      </w:pPr>
      <w:r>
        <w:rPr>
          <w:rFonts w:hint="eastAsia"/>
        </w:rPr>
        <w:t>（5）园区内部管道应从不少于2个的不同方向与外部管道连通，以保证园区内光缆的多路由接入。</w:t>
      </w:r>
    </w:p>
    <w:p>
      <w:pPr>
        <w:pStyle w:val="3"/>
        <w:numPr>
          <w:ilvl w:val="1"/>
          <w:numId w:val="4"/>
        </w:numPr>
        <w:spacing w:before="156" w:after="163"/>
      </w:pPr>
      <w:bookmarkStart w:id="217" w:name="_Toc116466070"/>
      <w:r>
        <w:rPr>
          <w:rFonts w:hint="eastAsia"/>
        </w:rPr>
        <w:t>光缆规划原则</w:t>
      </w:r>
      <w:bookmarkEnd w:id="217"/>
    </w:p>
    <w:p>
      <w:pPr>
        <w:ind w:firstLine="480"/>
      </w:pPr>
      <w:r>
        <w:rPr>
          <w:rFonts w:hint="eastAsia"/>
        </w:rPr>
        <w:t xml:space="preserve">本地光缆网是综合承载所有业务的基础资源，应结合核心汇聚节点、综合业务接入点、OLT节点以及移动基站、宽带目标用户、大客户等的业务分布统一进行规划建设。 </w:t>
      </w:r>
    </w:p>
    <w:p>
      <w:pPr>
        <w:pStyle w:val="25"/>
        <w:keepNext/>
        <w:keepLines/>
        <w:numPr>
          <w:ilvl w:val="1"/>
          <w:numId w:val="13"/>
        </w:numPr>
        <w:ind w:firstLineChars="0"/>
        <w:outlineLvl w:val="2"/>
        <w:rPr>
          <w:rFonts w:eastAsia="黑体"/>
          <w:bCs/>
          <w:vanish/>
          <w:sz w:val="28"/>
          <w:szCs w:val="32"/>
        </w:rPr>
      </w:pPr>
      <w:bookmarkStart w:id="218" w:name="_Toc16196374"/>
      <w:bookmarkEnd w:id="218"/>
      <w:bookmarkStart w:id="219" w:name="_Toc22076714"/>
      <w:bookmarkEnd w:id="219"/>
      <w:bookmarkStart w:id="220" w:name="_Toc16196466"/>
      <w:bookmarkEnd w:id="220"/>
      <w:bookmarkStart w:id="221" w:name="_Toc18422601"/>
      <w:bookmarkEnd w:id="221"/>
      <w:bookmarkStart w:id="222" w:name="_Toc16196558"/>
      <w:bookmarkEnd w:id="222"/>
    </w:p>
    <w:p>
      <w:pPr>
        <w:pStyle w:val="25"/>
        <w:keepNext/>
        <w:keepLines/>
        <w:numPr>
          <w:ilvl w:val="1"/>
          <w:numId w:val="13"/>
        </w:numPr>
        <w:ind w:firstLineChars="0"/>
        <w:outlineLvl w:val="2"/>
        <w:rPr>
          <w:rFonts w:eastAsia="黑体"/>
          <w:bCs/>
          <w:vanish/>
          <w:sz w:val="28"/>
          <w:szCs w:val="32"/>
        </w:rPr>
      </w:pPr>
      <w:bookmarkStart w:id="223" w:name="_Toc16196467"/>
      <w:bookmarkEnd w:id="223"/>
      <w:bookmarkStart w:id="224" w:name="_Toc22076715"/>
      <w:bookmarkEnd w:id="224"/>
      <w:bookmarkStart w:id="225" w:name="_Toc16196375"/>
      <w:bookmarkEnd w:id="225"/>
      <w:bookmarkStart w:id="226" w:name="_Toc16196559"/>
      <w:bookmarkEnd w:id="226"/>
      <w:bookmarkStart w:id="227" w:name="_Toc18422602"/>
      <w:bookmarkEnd w:id="227"/>
    </w:p>
    <w:p>
      <w:pPr>
        <w:pStyle w:val="4"/>
        <w:numPr>
          <w:ilvl w:val="2"/>
          <w:numId w:val="13"/>
        </w:numPr>
        <w:ind w:firstLineChars="0"/>
      </w:pPr>
      <w:bookmarkStart w:id="228" w:name="_Toc860551878"/>
      <w:r>
        <w:t>光缆规划总体原则</w:t>
      </w:r>
      <w:bookmarkEnd w:id="228"/>
    </w:p>
    <w:p>
      <w:pPr>
        <w:ind w:firstLine="482"/>
      </w:pPr>
      <w:r>
        <w:rPr>
          <w:rFonts w:hint="eastAsia"/>
          <w:b/>
        </w:rPr>
        <w:t>总体原则：</w:t>
      </w:r>
      <w:r>
        <w:rPr>
          <w:rFonts w:hint="eastAsia"/>
        </w:rPr>
        <w:t>遵循“光缆网的规划思路应适当超前，主干稳定、配线灵活”的原则。面向全业务，结合资源普查结果及业务发展目标，以综合业务接入区为依托，采用“综合业务汇聚点＋主干接入光缆＋配线接入光缆＋末端接入光缆”的分层模式进行规划建设，按照“一张光缆网”目标建设。</w:t>
      </w:r>
    </w:p>
    <w:p>
      <w:pPr>
        <w:ind w:firstLine="482"/>
      </w:pPr>
      <w:r>
        <w:rPr>
          <w:rFonts w:hint="eastAsia"/>
          <w:b/>
        </w:rPr>
        <w:t>组网原则：</w:t>
      </w:r>
      <w:r>
        <w:rPr>
          <w:rFonts w:hint="eastAsia"/>
        </w:rPr>
        <w:t>网络</w:t>
      </w:r>
      <w:r>
        <w:rPr>
          <w:rFonts w:hint="default"/>
        </w:rPr>
        <w:t>拓扑结构</w:t>
      </w:r>
      <w:r>
        <w:rPr>
          <w:rFonts w:hint="eastAsia"/>
        </w:rPr>
        <w:t>应满足3年以上的需求，光缆容量满足3~5年需求，接入层光缆必须同时满足基站、专线接入的环状组网需求和普通客户接入的星形组网需求。</w:t>
      </w:r>
    </w:p>
    <w:p>
      <w:pPr>
        <w:ind w:firstLine="482"/>
      </w:pPr>
      <w:r>
        <w:rPr>
          <w:rFonts w:hint="eastAsia"/>
          <w:b/>
        </w:rPr>
        <w:t>分纤点设置原则：</w:t>
      </w:r>
      <w:r>
        <w:rPr>
          <w:rFonts w:hint="eastAsia"/>
        </w:rPr>
        <w:t>光缆用于辅助主干层光缆完成区域和道路的覆盖，并设置容量较小的光缆交接箱、接头盒等方式，以实现光缆快速接入，从而提高主干道路管道的使用效率。</w:t>
      </w:r>
    </w:p>
    <w:p>
      <w:pPr>
        <w:ind w:firstLine="480"/>
      </w:pPr>
      <w:r>
        <w:rPr>
          <w:rFonts w:hint="eastAsia"/>
        </w:rPr>
        <w:t>本地光缆网可分为核心层、汇聚层、主干层、配线层和用户引入层，如下图所示：</w:t>
      </w:r>
    </w:p>
    <w:p>
      <w:pPr>
        <w:ind w:firstLine="480"/>
      </w:pPr>
      <w:r>
        <w:drawing>
          <wp:inline distT="0" distB="0" distL="0" distR="0">
            <wp:extent cx="4219575" cy="3507105"/>
            <wp:effectExtent l="0" t="0" r="0" b="0"/>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4220430" cy="3508121"/>
                    </a:xfrm>
                    <a:prstGeom prst="rect">
                      <a:avLst/>
                    </a:prstGeom>
                    <a:noFill/>
                    <a:ln>
                      <a:noFill/>
                    </a:ln>
                  </pic:spPr>
                </pic:pic>
              </a:graphicData>
            </a:graphic>
          </wp:inline>
        </w:drawing>
      </w:r>
    </w:p>
    <w:p>
      <w:pPr>
        <w:ind w:firstLine="480"/>
        <w:jc w:val="center"/>
      </w:pPr>
      <w:r>
        <w:rPr>
          <w:rFonts w:hint="eastAsia"/>
        </w:rPr>
        <w:t>图</w:t>
      </w:r>
      <w:r>
        <w:t>5.4</w:t>
      </w:r>
      <w:r>
        <w:rPr>
          <w:rFonts w:hint="eastAsia"/>
        </w:rPr>
        <w:t>光缆网分层结构</w:t>
      </w:r>
    </w:p>
    <w:p>
      <w:pPr>
        <w:pStyle w:val="4"/>
        <w:numPr>
          <w:ilvl w:val="2"/>
          <w:numId w:val="13"/>
        </w:numPr>
        <w:ind w:firstLineChars="0"/>
      </w:pPr>
      <w:bookmarkStart w:id="229" w:name="_Toc427223737"/>
      <w:bookmarkStart w:id="230" w:name="_Toc472350907"/>
      <w:bookmarkStart w:id="231" w:name="_Toc427231746"/>
      <w:bookmarkStart w:id="232" w:name="_Toc1187008648"/>
      <w:r>
        <w:rPr>
          <w:rFonts w:hint="eastAsia"/>
        </w:rPr>
        <w:t>核心汇聚层光缆建设原则</w:t>
      </w:r>
      <w:bookmarkEnd w:id="229"/>
      <w:bookmarkEnd w:id="230"/>
      <w:bookmarkEnd w:id="231"/>
      <w:bookmarkEnd w:id="232"/>
    </w:p>
    <w:p>
      <w:pPr>
        <w:ind w:firstLine="480"/>
      </w:pPr>
      <w:r>
        <w:rPr>
          <w:rFonts w:hint="eastAsia"/>
        </w:rPr>
        <w:t>核心汇聚层光缆主要解决业务核心网元之间的大颗粒电路、汇聚节点的BRAS/SR/汇聚交换机上联、WDM/OTN/分组/MSTP 核心汇聚层系统组网等业务承载，兼顾大颗粒大客户业务直连纤芯。原则上2M~FE颗粒大客户专线电路、OLT上联、DSLAM上联、移动基站组环等不允许在核心汇聚光缆承载。</w:t>
      </w:r>
    </w:p>
    <w:p>
      <w:pPr>
        <w:ind w:firstLine="480"/>
      </w:pPr>
      <w:r>
        <w:rPr>
          <w:rFonts w:hint="eastAsia"/>
        </w:rPr>
        <w:t>核心层光缆建设原则：核心层光缆应独立设置，容量满足未来5-10年业务发展需要。</w:t>
      </w:r>
    </w:p>
    <w:p>
      <w:pPr>
        <w:ind w:firstLine="480"/>
      </w:pPr>
      <w:r>
        <w:rPr>
          <w:rFonts w:hint="eastAsia"/>
        </w:rPr>
        <w:t>光缆芯数应不少于144芯。</w:t>
      </w:r>
    </w:p>
    <w:p>
      <w:pPr>
        <w:pStyle w:val="4"/>
        <w:numPr>
          <w:ilvl w:val="2"/>
          <w:numId w:val="13"/>
        </w:numPr>
        <w:ind w:firstLineChars="0"/>
      </w:pPr>
      <w:bookmarkStart w:id="233" w:name="_Toc427223738"/>
      <w:bookmarkStart w:id="234" w:name="_Toc427231747"/>
      <w:bookmarkStart w:id="235" w:name="_Toc472350908"/>
      <w:bookmarkStart w:id="236" w:name="_Toc1544829789"/>
      <w:r>
        <w:rPr>
          <w:rFonts w:hint="eastAsia"/>
        </w:rPr>
        <w:t>接入主干光缆建设原则</w:t>
      </w:r>
      <w:bookmarkEnd w:id="233"/>
      <w:bookmarkEnd w:id="234"/>
      <w:bookmarkEnd w:id="235"/>
      <w:bookmarkEnd w:id="236"/>
    </w:p>
    <w:p>
      <w:pPr>
        <w:ind w:firstLine="480"/>
      </w:pPr>
      <w:r>
        <w:rPr>
          <w:rFonts w:hint="eastAsia"/>
        </w:rPr>
        <w:t>接入主干光缆主要解决：语音、宽带、专线、监控、WLAN、基站、室分、智慧应用等的接入需求。</w:t>
      </w:r>
    </w:p>
    <w:p>
      <w:pPr>
        <w:ind w:firstLine="480"/>
      </w:pPr>
      <w:r>
        <w:rPr>
          <w:rFonts w:hint="eastAsia"/>
        </w:rPr>
        <w:t>接入主干光缆环形结构主要采用环型无递减配线方式。每个主干环上光节点以12芯为单位进行成端纤芯分配的原则，并保留至少12芯的公共纤芯，在各个主干光节点处成端。</w:t>
      </w:r>
    </w:p>
    <w:p>
      <w:pPr>
        <w:ind w:firstLine="480"/>
      </w:pPr>
      <w:r>
        <w:rPr>
          <w:rFonts w:hint="eastAsia"/>
        </w:rPr>
        <w:t>（</w:t>
      </w:r>
      <w:r>
        <w:t>1</w:t>
      </w:r>
      <w:r>
        <w:rPr>
          <w:rFonts w:hint="eastAsia"/>
        </w:rPr>
        <w:t>）前瞻性</w:t>
      </w:r>
    </w:p>
    <w:p>
      <w:pPr>
        <w:ind w:firstLine="480"/>
      </w:pPr>
      <w:r>
        <w:rPr>
          <w:rFonts w:hint="eastAsia"/>
        </w:rPr>
        <w:t>本地光缆网不仅考虑业务网的扩容需求，还应根据不同网络层次、业务发展及覆盖区域，分析和预测业务网以及本地光缆网的发展，确定光缆网的中期容量和覆盖规模，避免重复建设，节约管道资源。</w:t>
      </w:r>
    </w:p>
    <w:p>
      <w:pPr>
        <w:ind w:firstLine="480"/>
      </w:pPr>
      <w:r>
        <w:rPr>
          <w:rFonts w:hint="eastAsia"/>
        </w:rPr>
        <w:t>（2）独立性</w:t>
      </w:r>
    </w:p>
    <w:p>
      <w:pPr>
        <w:ind w:firstLine="480"/>
      </w:pPr>
      <w:r>
        <w:rPr>
          <w:rFonts w:hint="eastAsia"/>
        </w:rPr>
        <w:t>本地光缆网的发展在考虑业务需求的同时，还应该结合自身网络的特点独立地发展。由于市场、技术变化的不确定性，导致业务网对光缆网需求长期处于动态不确定的状态，因此对光缆网的结构、容量影响很大，光缆网的独立性是要基于业务、技术发展，又超越业务、技术发展，通过对网络目标、业务的宏观判断、预测，结合光缆网自身特点，统筹全业务运营下的光纤需求趋势，规划各层面的光缆路由、节点，进行网络预覆盖的计划。</w:t>
      </w:r>
    </w:p>
    <w:p>
      <w:pPr>
        <w:ind w:firstLine="480"/>
      </w:pPr>
      <w:r>
        <w:rPr>
          <w:rFonts w:hint="eastAsia"/>
        </w:rPr>
        <w:t>（</w:t>
      </w:r>
      <w:r>
        <w:t>3</w:t>
      </w:r>
      <w:r>
        <w:rPr>
          <w:rFonts w:hint="eastAsia"/>
        </w:rPr>
        <w:t>）统一规划、分步实施</w:t>
      </w:r>
    </w:p>
    <w:p>
      <w:pPr>
        <w:ind w:firstLine="480"/>
      </w:pPr>
      <w:r>
        <w:rPr>
          <w:rFonts w:hint="eastAsia"/>
        </w:rPr>
        <w:t>统一规划：光缆网络是各业务网的基础，需统筹考虑技术、网络、光缆网现状、机房、管道等情况，统一规划，满足各业务网需求。</w:t>
      </w:r>
    </w:p>
    <w:p>
      <w:pPr>
        <w:ind w:firstLine="480"/>
      </w:pPr>
      <w:r>
        <w:rPr>
          <w:rFonts w:hint="eastAsia"/>
        </w:rPr>
        <w:t>分步实施：光缆网建设应以规划的光缆网结构、容量为基础，根据业务需求、市政规划、战略投资、网络安全优化等分步实施。由于基站、宽带、商企客户接入、光进铜退等引起的接入主干环以上光缆网建设，必须严格按规划光缆结构、容量建设。</w:t>
      </w:r>
    </w:p>
    <w:p>
      <w:pPr>
        <w:ind w:firstLine="480"/>
      </w:pPr>
      <w:r>
        <w:rPr>
          <w:rFonts w:hint="eastAsia"/>
        </w:rPr>
        <w:t>（</w:t>
      </w:r>
      <w:r>
        <w:t>4</w:t>
      </w:r>
      <w:r>
        <w:rPr>
          <w:rFonts w:hint="eastAsia"/>
        </w:rPr>
        <w:t>）分层分区规划</w:t>
      </w:r>
    </w:p>
    <w:p>
      <w:pPr>
        <w:ind w:firstLine="480"/>
      </w:pPr>
      <w:r>
        <w:rPr>
          <w:rFonts w:hint="eastAsia"/>
        </w:rPr>
        <w:t>光缆网应充分考虑地市经济发展水平、用户密度、业务发展策略等因素，统筹考虑各层面和移动、固网宽带、商企客户等接入需要，分层分区进行网络规划。</w:t>
      </w:r>
    </w:p>
    <w:p>
      <w:pPr>
        <w:ind w:firstLine="480"/>
      </w:pPr>
      <w:r>
        <w:rPr>
          <w:rFonts w:hint="eastAsia"/>
        </w:rPr>
        <w:t>光缆网应按垂直分层、水平分区的原则进行。逐步完善核心、汇聚、接入层的清晰层次架构。水平分区原则上应依据地理状况、商业楼宇、办公楼、住宅小区、村镇等，将覆盖区域细分为多个综合业务接入区进行统筹规划，并逐步实现基于街区的网格化管理。</w:t>
      </w:r>
    </w:p>
    <w:p>
      <w:pPr>
        <w:pStyle w:val="4"/>
        <w:numPr>
          <w:ilvl w:val="2"/>
          <w:numId w:val="13"/>
        </w:numPr>
        <w:ind w:firstLineChars="0"/>
      </w:pPr>
      <w:bookmarkStart w:id="237" w:name="_Toc472350909"/>
      <w:bookmarkStart w:id="238" w:name="_Toc427231748"/>
      <w:bookmarkStart w:id="239" w:name="_Toc427223739"/>
      <w:bookmarkStart w:id="240" w:name="_Toc827305105"/>
      <w:r>
        <w:rPr>
          <w:rFonts w:hint="eastAsia"/>
        </w:rPr>
        <w:t>接入配线光缆建设原则</w:t>
      </w:r>
      <w:bookmarkEnd w:id="237"/>
      <w:bookmarkEnd w:id="238"/>
      <w:bookmarkEnd w:id="239"/>
      <w:bookmarkEnd w:id="240"/>
    </w:p>
    <w:p>
      <w:pPr>
        <w:ind w:firstLine="480"/>
      </w:pPr>
      <w:r>
        <w:rPr>
          <w:rFonts w:hint="eastAsia"/>
        </w:rPr>
        <w:t>新建移动站点应采用光缆接入方式。对于已有光纤接入的大楼、小区发展新业务时应充分利用既有光缆资源。</w:t>
      </w:r>
    </w:p>
    <w:p>
      <w:pPr>
        <w:ind w:firstLine="480"/>
      </w:pPr>
      <w:r>
        <w:rPr>
          <w:rFonts w:hint="eastAsia"/>
        </w:rPr>
        <w:t>新建光缆时，应综合考虑宽带覆盖、室内分布和WLAN等业务的光纤需求，后期进入的其它业务不得重复建设。</w:t>
      </w:r>
    </w:p>
    <w:p>
      <w:pPr>
        <w:ind w:firstLine="480"/>
      </w:pPr>
      <w:r>
        <w:rPr>
          <w:rFonts w:hint="eastAsia"/>
        </w:rPr>
        <w:t>重要的末端接入点可建设光缆环路。</w:t>
      </w:r>
    </w:p>
    <w:p>
      <w:pPr>
        <w:ind w:firstLine="480"/>
      </w:pPr>
      <w:r>
        <w:rPr>
          <w:rFonts w:hint="eastAsia"/>
        </w:rPr>
        <w:t>配线光缆应结合业务需求确定光缆芯数，原则上不少于24芯。</w:t>
      </w:r>
    </w:p>
    <w:p>
      <w:pPr>
        <w:ind w:firstLine="480"/>
      </w:pPr>
      <w:r>
        <w:rPr>
          <w:rFonts w:hint="eastAsia"/>
        </w:rPr>
        <w:t>市区、县城的基站必须充分利用综合接入业务区（接入主干光缆）的光纤资源，对新建设的综合业务接入区，要求基站必须利用接入主干纤芯资源。</w:t>
      </w:r>
    </w:p>
    <w:p>
      <w:pPr>
        <w:ind w:firstLine="480"/>
      </w:pPr>
      <w:r>
        <w:rPr>
          <w:rFonts w:hint="eastAsia"/>
        </w:rPr>
        <w:t>除交通干线基站外，乡镇、行政村基站接入应尽量避免从已有光缆段落中间掏接，尽量做到点对点接入。</w:t>
      </w:r>
    </w:p>
    <w:p>
      <w:pPr>
        <w:ind w:firstLine="480"/>
      </w:pPr>
      <w:r>
        <w:rPr>
          <w:rFonts w:hint="eastAsia"/>
        </w:rPr>
        <w:t>除交通干线基站、乡镇、行政村基站外，自然村新增移动站点应采用光缆接入方式，接入应尽量避免从已有光缆段落中间掏接，尽量做到点对点接入。</w:t>
      </w:r>
    </w:p>
    <w:p>
      <w:pPr>
        <w:pStyle w:val="2"/>
        <w:numPr>
          <w:ilvl w:val="0"/>
          <w:numId w:val="3"/>
        </w:numPr>
        <w:spacing w:before="326" w:after="326"/>
        <w:ind w:firstLineChars="0"/>
      </w:pPr>
      <w:bookmarkStart w:id="241" w:name="_Toc579229242"/>
      <w:r>
        <w:rPr>
          <w:rFonts w:hint="eastAsia"/>
        </w:rPr>
        <w:t>规划方案</w:t>
      </w:r>
      <w:bookmarkEnd w:id="241"/>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242" w:name="_Toc16196473"/>
      <w:bookmarkEnd w:id="242"/>
      <w:bookmarkStart w:id="243" w:name="_Toc22076721"/>
      <w:bookmarkEnd w:id="243"/>
      <w:bookmarkStart w:id="244" w:name="_Toc16196565"/>
      <w:bookmarkEnd w:id="244"/>
      <w:bookmarkStart w:id="245" w:name="_Toc16196381"/>
      <w:bookmarkEnd w:id="245"/>
      <w:bookmarkStart w:id="246" w:name="_Toc18422608"/>
      <w:bookmarkEnd w:id="246"/>
    </w:p>
    <w:p>
      <w:pPr>
        <w:pStyle w:val="3"/>
        <w:numPr>
          <w:ilvl w:val="1"/>
          <w:numId w:val="4"/>
        </w:numPr>
        <w:spacing w:before="156" w:after="163"/>
      </w:pPr>
      <w:bookmarkStart w:id="247" w:name="_Toc1396798735"/>
      <w:r>
        <w:rPr>
          <w:rFonts w:hint="eastAsia"/>
        </w:rPr>
        <w:t>无线网规划方案</w:t>
      </w:r>
      <w:bookmarkEnd w:id="247"/>
    </w:p>
    <w:p>
      <w:pPr>
        <w:ind w:firstLine="480"/>
      </w:pPr>
      <w:r>
        <w:rPr>
          <w:rFonts w:hint="eastAsia"/>
        </w:rPr>
        <w:t>针对规划期内产业园区的建设进展、人口、道路的情况，同时考虑周边基站对规划区的覆盖，对整个规划区的基站布局进行了规划。</w:t>
      </w:r>
    </w:p>
    <w:p>
      <w:pPr>
        <w:ind w:firstLine="480"/>
      </w:pPr>
      <w:r>
        <w:rPr>
          <w:rFonts w:hint="eastAsia"/>
        </w:rPr>
        <w:t>本次规划共规划建设宏基站</w:t>
      </w:r>
      <w:r>
        <w:t>64个</w:t>
      </w:r>
      <w:r>
        <w:rPr>
          <w:rFonts w:hint="eastAsia"/>
        </w:rPr>
        <w:t>，其中近期建设</w:t>
      </w:r>
      <w:r>
        <w:t>13个</w:t>
      </w:r>
      <w:r>
        <w:rPr>
          <w:rFonts w:hint="eastAsia"/>
        </w:rPr>
        <w:t>，中期建设</w:t>
      </w:r>
      <w:r>
        <w:t>20</w:t>
      </w:r>
      <w:r>
        <w:rPr>
          <w:rFonts w:hint="eastAsia"/>
        </w:rPr>
        <w:t>个，</w:t>
      </w:r>
      <w:r>
        <w:t>远期建设63个</w:t>
      </w:r>
      <w:r>
        <w:rPr>
          <w:rFonts w:hint="eastAsia"/>
        </w:rPr>
        <w:t>。新建楼面站</w:t>
      </w:r>
      <w:r>
        <w:t>42个</w:t>
      </w:r>
      <w:r>
        <w:rPr>
          <w:rFonts w:hint="eastAsia"/>
        </w:rPr>
        <w:t>，</w:t>
      </w:r>
      <w:r>
        <w:t>新建灯杆站22</w:t>
      </w:r>
      <w:r>
        <w:rPr>
          <w:rFonts w:hint="eastAsia"/>
        </w:rPr>
        <w:t>个。</w:t>
      </w:r>
    </w:p>
    <w:p>
      <w:pPr>
        <w:ind w:firstLine="480"/>
      </w:pPr>
      <w:r>
        <w:rPr>
          <w:rFonts w:hint="eastAsia"/>
        </w:rPr>
        <w:t>本次规划共规划建设小微基站</w:t>
      </w:r>
      <w:r>
        <w:t>77个</w:t>
      </w:r>
      <w:r>
        <w:rPr>
          <w:rFonts w:hint="eastAsia"/>
        </w:rPr>
        <w:t>，其中近期建设</w:t>
      </w:r>
      <w:r>
        <w:t>11个</w:t>
      </w:r>
      <w:r>
        <w:rPr>
          <w:rFonts w:hint="eastAsia"/>
        </w:rPr>
        <w:t>，中期建设</w:t>
      </w:r>
      <w:r>
        <w:t>37</w:t>
      </w:r>
      <w:r>
        <w:rPr>
          <w:rFonts w:hint="eastAsia"/>
        </w:rPr>
        <w:t>个，远期建设2</w:t>
      </w:r>
      <w:r>
        <w:t>9个</w:t>
      </w:r>
      <w:r>
        <w:rPr>
          <w:rFonts w:hint="eastAsia"/>
        </w:rPr>
        <w:t>。</w:t>
      </w:r>
    </w:p>
    <w:p>
      <w:pPr>
        <w:pStyle w:val="25"/>
        <w:keepNext/>
        <w:keepLines/>
        <w:numPr>
          <w:ilvl w:val="0"/>
          <w:numId w:val="13"/>
        </w:numPr>
        <w:ind w:firstLineChars="0"/>
        <w:outlineLvl w:val="2"/>
        <w:rPr>
          <w:rFonts w:eastAsia="黑体"/>
          <w:bCs/>
          <w:vanish/>
          <w:sz w:val="28"/>
          <w:szCs w:val="32"/>
        </w:rPr>
      </w:pPr>
      <w:bookmarkStart w:id="248" w:name="_Toc22076723"/>
      <w:bookmarkEnd w:id="248"/>
      <w:bookmarkStart w:id="249" w:name="_Toc18422610"/>
      <w:bookmarkEnd w:id="249"/>
    </w:p>
    <w:p>
      <w:pPr>
        <w:pStyle w:val="25"/>
        <w:keepNext/>
        <w:keepLines/>
        <w:numPr>
          <w:ilvl w:val="1"/>
          <w:numId w:val="13"/>
        </w:numPr>
        <w:ind w:firstLineChars="0"/>
        <w:outlineLvl w:val="2"/>
        <w:rPr>
          <w:rFonts w:eastAsia="黑体"/>
          <w:bCs/>
          <w:vanish/>
          <w:sz w:val="28"/>
          <w:szCs w:val="32"/>
        </w:rPr>
      </w:pPr>
      <w:bookmarkStart w:id="250" w:name="_Toc22076724"/>
      <w:bookmarkEnd w:id="250"/>
      <w:bookmarkStart w:id="251" w:name="_Toc18422611"/>
      <w:bookmarkEnd w:id="251"/>
    </w:p>
    <w:p>
      <w:pPr>
        <w:pStyle w:val="4"/>
        <w:numPr>
          <w:ilvl w:val="2"/>
          <w:numId w:val="13"/>
        </w:numPr>
        <w:ind w:firstLineChars="0"/>
      </w:pPr>
      <w:bookmarkStart w:id="252" w:name="_Toc482390325"/>
      <w:r>
        <w:t>近期规划方案</w:t>
      </w:r>
      <w:bookmarkEnd w:id="252"/>
    </w:p>
    <w:p>
      <w:pPr>
        <w:ind w:firstLine="480"/>
      </w:pPr>
      <w:r>
        <w:rPr>
          <w:rFonts w:hint="eastAsia"/>
        </w:rPr>
        <w:t>无线网近期规划方案主要满足已完工的微城未来学校、在建的腾讯生态园、主干道路的通信覆盖需求。近期共规划站点</w:t>
      </w:r>
      <w:r>
        <w:t>13</w:t>
      </w:r>
      <w:r>
        <w:rPr>
          <w:rFonts w:hint="eastAsia"/>
        </w:rPr>
        <w:t>个。</w:t>
      </w:r>
    </w:p>
    <w:p>
      <w:pPr>
        <w:ind w:firstLine="0" w:firstLineChars="0"/>
        <w:jc w:val="center"/>
      </w:pPr>
      <w:r>
        <w:drawing>
          <wp:inline distT="0" distB="0" distL="0" distR="0">
            <wp:extent cx="5257800" cy="560070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9"/>
                    <a:stretch>
                      <a:fillRect/>
                    </a:stretch>
                  </pic:blipFill>
                  <pic:spPr>
                    <a:xfrm>
                      <a:off x="0" y="0"/>
                      <a:ext cx="5257800" cy="5600700"/>
                    </a:xfrm>
                    <a:prstGeom prst="rect">
                      <a:avLst/>
                    </a:prstGeom>
                  </pic:spPr>
                </pic:pic>
              </a:graphicData>
            </a:graphic>
          </wp:inline>
        </w:drawing>
      </w:r>
    </w:p>
    <w:p>
      <w:pPr>
        <w:ind w:firstLine="0" w:firstLineChars="0"/>
        <w:jc w:val="center"/>
      </w:pPr>
      <w:r>
        <w:t>图</w:t>
      </w:r>
      <w:r>
        <w:rPr>
          <w:rFonts w:hint="eastAsia"/>
        </w:rPr>
        <w:t>6</w:t>
      </w:r>
      <w:r>
        <w:t>.1</w:t>
      </w:r>
      <w:r>
        <w:rPr>
          <w:rFonts w:hint="eastAsia"/>
        </w:rPr>
        <w:t>.</w:t>
      </w:r>
      <w:r>
        <w:t>1近期规划站点</w:t>
      </w:r>
    </w:p>
    <w:p>
      <w:pPr>
        <w:ind w:firstLine="0" w:firstLineChars="0"/>
        <w:jc w:val="center"/>
      </w:pPr>
      <w:r>
        <w:t xml:space="preserve">表6.1.1 </w:t>
      </w:r>
      <w:r>
        <w:rPr>
          <w:rFonts w:hint="eastAsia"/>
        </w:rPr>
        <w:t>近期规划</w:t>
      </w:r>
      <w:r>
        <w:t>站点表</w:t>
      </w:r>
    </w:p>
    <w:tbl>
      <w:tblPr>
        <w:tblStyle w:val="17"/>
        <w:tblW w:w="0" w:type="auto"/>
        <w:jc w:val="center"/>
        <w:tblLayout w:type="fixed"/>
        <w:tblCellMar>
          <w:top w:w="0" w:type="dxa"/>
          <w:left w:w="108" w:type="dxa"/>
          <w:bottom w:w="0" w:type="dxa"/>
          <w:right w:w="108" w:type="dxa"/>
        </w:tblCellMar>
      </w:tblPr>
      <w:tblGrid>
        <w:gridCol w:w="381"/>
        <w:gridCol w:w="1457"/>
        <w:gridCol w:w="992"/>
        <w:gridCol w:w="934"/>
        <w:gridCol w:w="714"/>
        <w:gridCol w:w="714"/>
        <w:gridCol w:w="899"/>
        <w:gridCol w:w="777"/>
        <w:gridCol w:w="714"/>
        <w:gridCol w:w="714"/>
      </w:tblGrid>
      <w:tr>
        <w:tblPrEx>
          <w:tblCellMar>
            <w:top w:w="0" w:type="dxa"/>
            <w:left w:w="108" w:type="dxa"/>
            <w:bottom w:w="0" w:type="dxa"/>
            <w:right w:w="108" w:type="dxa"/>
          </w:tblCellMar>
        </w:tblPrEx>
        <w:trPr>
          <w:trHeight w:val="540" w:hRule="atLeast"/>
          <w:jc w:val="center"/>
        </w:trPr>
        <w:tc>
          <w:tcPr>
            <w:tcW w:w="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序号</w:t>
            </w:r>
          </w:p>
        </w:tc>
        <w:tc>
          <w:tcPr>
            <w:tcW w:w="145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站点名称</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经度</w:t>
            </w:r>
          </w:p>
        </w:tc>
        <w:tc>
          <w:tcPr>
            <w:tcW w:w="9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纬度</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建设类型</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站址属性</w:t>
            </w:r>
          </w:p>
        </w:tc>
        <w:tc>
          <w:tcPr>
            <w:tcW w:w="8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系统类型</w:t>
            </w:r>
          </w:p>
        </w:tc>
        <w:tc>
          <w:tcPr>
            <w:tcW w:w="77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天线挂高范围(m)</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需求运营商</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需求年份</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w:t>
            </w:r>
          </w:p>
        </w:tc>
        <w:tc>
          <w:tcPr>
            <w:tcW w:w="145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新城水月公园灯杆</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110.144148</w:t>
            </w:r>
          </w:p>
        </w:tc>
        <w:tc>
          <w:tcPr>
            <w:tcW w:w="93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19.933542</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新城腾讯生态村西灯杆</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110.13192</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19.929853</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新城微城公园灯杆</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110.12954</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19.925184</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新城美仑滨河公园灯杆</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110.125405</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19.9258</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5</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新城腾讯生态村1</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110.135396</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19.930424</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6</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新城腾讯生态村2</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110.133043</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19.928601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7</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新城腾讯生态村3</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110.132435</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19.926153</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27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8</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新城数字文明社区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110.129153</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19.921198</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54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9</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新城未来学校</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110.132811</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19.918461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54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10</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新城蓝梦三路灯杆3</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110.132298</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19.91648</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54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新城蓝梦三路灯杆2</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110.128993</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19.9163</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54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12</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新城森林公园灯杆1</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110.129382</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19.912274</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r>
        <w:tblPrEx>
          <w:tblCellMar>
            <w:top w:w="0" w:type="dxa"/>
            <w:left w:w="108" w:type="dxa"/>
            <w:bottom w:w="0" w:type="dxa"/>
            <w:right w:w="108" w:type="dxa"/>
          </w:tblCellMar>
        </w:tblPrEx>
        <w:trPr>
          <w:trHeight w:val="540" w:hRule="atLeast"/>
          <w:jc w:val="center"/>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13</w:t>
            </w:r>
          </w:p>
        </w:tc>
        <w:tc>
          <w:tcPr>
            <w:tcW w:w="145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新城蓝梦四路灯杆2</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110.13248</w:t>
            </w:r>
          </w:p>
        </w:tc>
        <w:tc>
          <w:tcPr>
            <w:tcW w:w="9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19.907233</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30≤H&lt;35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近期</w:t>
            </w:r>
          </w:p>
        </w:tc>
      </w:tr>
    </w:tbl>
    <w:p>
      <w:pPr>
        <w:pStyle w:val="4"/>
        <w:numPr>
          <w:ilvl w:val="2"/>
          <w:numId w:val="13"/>
        </w:numPr>
        <w:ind w:firstLineChars="0"/>
      </w:pPr>
      <w:bookmarkStart w:id="253" w:name="_Toc1199800979"/>
      <w:r>
        <w:t>中期规划方案</w:t>
      </w:r>
      <w:bookmarkEnd w:id="253"/>
    </w:p>
    <w:p>
      <w:pPr>
        <w:ind w:firstLine="480"/>
      </w:pPr>
      <w:r>
        <w:rPr>
          <w:rFonts w:hint="eastAsia"/>
        </w:rPr>
        <w:t>根据产业园区建设进度，满足百</w:t>
      </w:r>
      <w:r>
        <w:t>度生态村</w:t>
      </w:r>
      <w:r>
        <w:rPr>
          <w:rFonts w:hint="eastAsia"/>
        </w:rPr>
        <w:t>、智力产业基地、</w:t>
      </w:r>
      <w:r>
        <w:t>高知社区</w:t>
      </w:r>
      <w:r>
        <w:rPr>
          <w:rFonts w:hint="eastAsia"/>
        </w:rPr>
        <w:t>、</w:t>
      </w:r>
      <w:r>
        <w:t>国际电竞港</w:t>
      </w:r>
      <w:r>
        <w:rPr>
          <w:rFonts w:hint="eastAsia"/>
        </w:rPr>
        <w:t>、</w:t>
      </w:r>
      <w:r>
        <w:t>游戏数码港等已开工项目的</w:t>
      </w:r>
      <w:r>
        <w:rPr>
          <w:rFonts w:hint="eastAsia"/>
        </w:rPr>
        <w:t>无线覆盖需求。中期规划新建站点9个，改造站点</w:t>
      </w:r>
      <w:r>
        <w:t>20</w:t>
      </w:r>
      <w:r>
        <w:rPr>
          <w:rFonts w:hint="eastAsia"/>
        </w:rPr>
        <w:t>个。</w:t>
      </w:r>
    </w:p>
    <w:p>
      <w:pPr>
        <w:ind w:firstLine="480"/>
      </w:pPr>
      <w:r>
        <w:drawing>
          <wp:inline distT="0" distB="0" distL="0" distR="0">
            <wp:extent cx="5114925" cy="5581650"/>
            <wp:effectExtent l="0" t="0" r="952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0"/>
                    <a:stretch>
                      <a:fillRect/>
                    </a:stretch>
                  </pic:blipFill>
                  <pic:spPr>
                    <a:xfrm>
                      <a:off x="0" y="0"/>
                      <a:ext cx="5114925" cy="5581650"/>
                    </a:xfrm>
                    <a:prstGeom prst="rect">
                      <a:avLst/>
                    </a:prstGeom>
                  </pic:spPr>
                </pic:pic>
              </a:graphicData>
            </a:graphic>
          </wp:inline>
        </w:drawing>
      </w:r>
    </w:p>
    <w:p>
      <w:pPr>
        <w:ind w:firstLine="0" w:firstLineChars="0"/>
        <w:jc w:val="center"/>
      </w:pPr>
      <w:r>
        <w:t>图</w:t>
      </w:r>
      <w:r>
        <w:rPr>
          <w:rFonts w:hint="eastAsia"/>
        </w:rPr>
        <w:t>6</w:t>
      </w:r>
      <w:r>
        <w:t>.1</w:t>
      </w:r>
      <w:r>
        <w:rPr>
          <w:rFonts w:hint="eastAsia"/>
        </w:rPr>
        <w:t>.</w:t>
      </w:r>
      <w:r>
        <w:t>2</w:t>
      </w:r>
      <w:r>
        <w:rPr>
          <w:rFonts w:hint="eastAsia"/>
        </w:rPr>
        <w:t>中</w:t>
      </w:r>
      <w:r>
        <w:t>期规划站点</w:t>
      </w:r>
    </w:p>
    <w:p>
      <w:pPr>
        <w:ind w:firstLine="0" w:firstLineChars="0"/>
        <w:jc w:val="center"/>
      </w:pPr>
      <w:r>
        <w:t xml:space="preserve">表6.1.2 </w:t>
      </w:r>
      <w:r>
        <w:rPr>
          <w:rFonts w:hint="eastAsia"/>
        </w:rPr>
        <w:t>中期规划</w:t>
      </w:r>
      <w:r>
        <w:t>站点表</w:t>
      </w:r>
    </w:p>
    <w:tbl>
      <w:tblPr>
        <w:tblStyle w:val="17"/>
        <w:tblW w:w="0" w:type="auto"/>
        <w:tblInd w:w="0" w:type="dxa"/>
        <w:tblLayout w:type="fixed"/>
        <w:tblCellMar>
          <w:top w:w="0" w:type="dxa"/>
          <w:left w:w="108" w:type="dxa"/>
          <w:bottom w:w="0" w:type="dxa"/>
          <w:right w:w="108" w:type="dxa"/>
        </w:tblCellMar>
      </w:tblPr>
      <w:tblGrid>
        <w:gridCol w:w="381"/>
        <w:gridCol w:w="1741"/>
        <w:gridCol w:w="850"/>
        <w:gridCol w:w="792"/>
        <w:gridCol w:w="714"/>
        <w:gridCol w:w="714"/>
        <w:gridCol w:w="899"/>
        <w:gridCol w:w="777"/>
        <w:gridCol w:w="714"/>
        <w:gridCol w:w="714"/>
      </w:tblGrid>
      <w:tr>
        <w:tblPrEx>
          <w:tblCellMar>
            <w:top w:w="0" w:type="dxa"/>
            <w:left w:w="108" w:type="dxa"/>
            <w:bottom w:w="0" w:type="dxa"/>
            <w:right w:w="108" w:type="dxa"/>
          </w:tblCellMar>
        </w:tblPrEx>
        <w:trPr>
          <w:trHeight w:val="540" w:hRule="atLeast"/>
        </w:trPr>
        <w:tc>
          <w:tcPr>
            <w:tcW w:w="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序号</w:t>
            </w:r>
          </w:p>
        </w:tc>
        <w:tc>
          <w:tcPr>
            <w:tcW w:w="17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站点名称</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经度</w:t>
            </w:r>
          </w:p>
        </w:tc>
        <w:tc>
          <w:tcPr>
            <w:tcW w:w="7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纬度</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建设类型</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站址属性</w:t>
            </w:r>
          </w:p>
        </w:tc>
        <w:tc>
          <w:tcPr>
            <w:tcW w:w="8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系统类型</w:t>
            </w:r>
          </w:p>
        </w:tc>
        <w:tc>
          <w:tcPr>
            <w:tcW w:w="77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天线挂高范围(m)</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建设方式</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需求年份</w:t>
            </w:r>
          </w:p>
        </w:tc>
      </w:tr>
      <w:tr>
        <w:tblPrEx>
          <w:tblCellMar>
            <w:top w:w="0" w:type="dxa"/>
            <w:left w:w="108" w:type="dxa"/>
            <w:bottom w:w="0" w:type="dxa"/>
            <w:right w:w="108" w:type="dxa"/>
          </w:tblCellMar>
        </w:tblPrEx>
        <w:trPr>
          <w:trHeight w:val="540"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w:t>
            </w:r>
          </w:p>
        </w:tc>
        <w:tc>
          <w:tcPr>
            <w:tcW w:w="174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新城别墅灯杆</w:t>
            </w:r>
          </w:p>
        </w:tc>
        <w:tc>
          <w:tcPr>
            <w:tcW w:w="85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110.145345</w:t>
            </w:r>
          </w:p>
        </w:tc>
        <w:tc>
          <w:tcPr>
            <w:tcW w:w="7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19.931033</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40"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2</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澄迈新城东侧灯杆</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110.144651</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19.928166</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40"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3</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新城电竞公园灯杆</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110.141596</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19.935721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4</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新城电竞港</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110.139919</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19.933721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5</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新城游戏数码港1</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110.138775</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19.937376</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6</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新城游戏数码港2</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110.136839</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19.935053</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7</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新城高知社区灯杆</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110.14334</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19.930392</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8</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新城高知社区1</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110.139151</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19.931071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9</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新城高知社区2</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110.141828</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19.932227</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10</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新城高知社区3</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110.140536</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19.928398</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11</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新城创业设计产业</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110.138289</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19.929462</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12</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新城高管社区1</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110.13534</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19.932265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13</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新城高管社区2</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110.135231</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19.934305</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14</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新城农业艺术公园1</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110.13271</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19.933688</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15</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新城农业艺术公园2</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110.129894</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19.935572</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16</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新城青年人才社区</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110.129035</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19.933229</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17</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新城百度生态村1</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110.133136</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19.932061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18</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新城百度生态村2</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110.129592</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19.930886</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19</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新城智力产业基地1</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110.129855</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19.927781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r>
        <w:tblPrEx>
          <w:tblCellMar>
            <w:top w:w="0" w:type="dxa"/>
            <w:left w:w="108" w:type="dxa"/>
            <w:bottom w:w="0" w:type="dxa"/>
            <w:right w:w="108" w:type="dxa"/>
          </w:tblCellMar>
        </w:tblPrEx>
        <w:trPr>
          <w:trHeight w:val="525" w:hRule="atLeast"/>
        </w:trPr>
        <w:tc>
          <w:tcPr>
            <w:tcW w:w="38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cs="宋体" w:asciiTheme="minorEastAsia" w:hAnsiTheme="minorEastAsia"/>
                <w:kern w:val="0"/>
                <w:sz w:val="18"/>
                <w:szCs w:val="18"/>
              </w:rPr>
              <w:t>20</w:t>
            </w:r>
          </w:p>
        </w:tc>
        <w:tc>
          <w:tcPr>
            <w:tcW w:w="17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新城智力产业基地2</w:t>
            </w:r>
          </w:p>
        </w:tc>
        <w:tc>
          <w:tcPr>
            <w:tcW w:w="8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110.127297</w:t>
            </w:r>
          </w:p>
        </w:tc>
        <w:tc>
          <w:tcPr>
            <w:tcW w:w="7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19.928581</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77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7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中期</w:t>
            </w:r>
          </w:p>
        </w:tc>
      </w:tr>
    </w:tbl>
    <w:p>
      <w:pPr>
        <w:pStyle w:val="4"/>
        <w:numPr>
          <w:ilvl w:val="2"/>
          <w:numId w:val="13"/>
        </w:numPr>
        <w:ind w:firstLineChars="0"/>
      </w:pPr>
      <w:bookmarkStart w:id="254" w:name="_Toc908153699"/>
      <w:r>
        <w:rPr>
          <w:rFonts w:hint="eastAsia"/>
        </w:rPr>
        <w:t>远</w:t>
      </w:r>
      <w:r>
        <w:t>期规划方案</w:t>
      </w:r>
      <w:bookmarkEnd w:id="254"/>
    </w:p>
    <w:p>
      <w:pPr>
        <w:ind w:firstLine="480"/>
      </w:pPr>
      <w:r>
        <w:rPr>
          <w:rFonts w:hint="eastAsia"/>
        </w:rPr>
        <w:t>根据产业园区建设进度，满足学区社区、商业中心、离岸数据生态村、数字健康生态村、康知社区、白莲新城等产业园区</w:t>
      </w:r>
      <w:r>
        <w:t>的</w:t>
      </w:r>
      <w:r>
        <w:rPr>
          <w:rFonts w:hint="eastAsia"/>
        </w:rPr>
        <w:t>无线覆盖需求。远期规划新建站点</w:t>
      </w:r>
      <w:r>
        <w:t>31</w:t>
      </w:r>
      <w:r>
        <w:rPr>
          <w:rFonts w:hint="eastAsia"/>
        </w:rPr>
        <w:t>个。</w:t>
      </w:r>
    </w:p>
    <w:p>
      <w:pPr>
        <w:ind w:firstLine="480"/>
        <w:jc w:val="right"/>
      </w:pPr>
      <w:r>
        <w:drawing>
          <wp:inline distT="0" distB="0" distL="0" distR="0">
            <wp:extent cx="5274310" cy="5556885"/>
            <wp:effectExtent l="0" t="0" r="2540" b="57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31"/>
                    <a:stretch>
                      <a:fillRect/>
                    </a:stretch>
                  </pic:blipFill>
                  <pic:spPr>
                    <a:xfrm>
                      <a:off x="0" y="0"/>
                      <a:ext cx="5274310" cy="5556885"/>
                    </a:xfrm>
                    <a:prstGeom prst="rect">
                      <a:avLst/>
                    </a:prstGeom>
                  </pic:spPr>
                </pic:pic>
              </a:graphicData>
            </a:graphic>
          </wp:inline>
        </w:drawing>
      </w:r>
    </w:p>
    <w:p>
      <w:pPr>
        <w:ind w:firstLine="0" w:firstLineChars="0"/>
        <w:jc w:val="center"/>
      </w:pPr>
      <w:r>
        <w:t>图</w:t>
      </w:r>
      <w:r>
        <w:rPr>
          <w:rFonts w:hint="eastAsia"/>
        </w:rPr>
        <w:t>6</w:t>
      </w:r>
      <w:r>
        <w:t>.1</w:t>
      </w:r>
      <w:r>
        <w:rPr>
          <w:rFonts w:hint="eastAsia"/>
        </w:rPr>
        <w:t>.</w:t>
      </w:r>
      <w:r>
        <w:t>3</w:t>
      </w:r>
      <w:r>
        <w:rPr>
          <w:rFonts w:hint="eastAsia"/>
        </w:rPr>
        <w:t>远</w:t>
      </w:r>
      <w:r>
        <w:t>期规划站点</w:t>
      </w:r>
    </w:p>
    <w:p>
      <w:pPr>
        <w:ind w:firstLine="0" w:firstLineChars="0"/>
        <w:jc w:val="center"/>
      </w:pPr>
      <w:r>
        <w:t>表6.1.3</w:t>
      </w:r>
      <w:r>
        <w:rPr>
          <w:rFonts w:hint="eastAsia"/>
        </w:rPr>
        <w:t>远期规划</w:t>
      </w:r>
      <w:r>
        <w:t>站点表</w:t>
      </w:r>
    </w:p>
    <w:tbl>
      <w:tblPr>
        <w:tblStyle w:val="17"/>
        <w:tblW w:w="0" w:type="auto"/>
        <w:jc w:val="center"/>
        <w:tblLayout w:type="fixed"/>
        <w:tblCellMar>
          <w:top w:w="0" w:type="dxa"/>
          <w:left w:w="108" w:type="dxa"/>
          <w:bottom w:w="0" w:type="dxa"/>
          <w:right w:w="108" w:type="dxa"/>
        </w:tblCellMar>
      </w:tblPr>
      <w:tblGrid>
        <w:gridCol w:w="463"/>
        <w:gridCol w:w="1517"/>
        <w:gridCol w:w="992"/>
        <w:gridCol w:w="841"/>
        <w:gridCol w:w="599"/>
        <w:gridCol w:w="599"/>
        <w:gridCol w:w="936"/>
        <w:gridCol w:w="948"/>
        <w:gridCol w:w="802"/>
        <w:gridCol w:w="599"/>
      </w:tblGrid>
      <w:tr>
        <w:tblPrEx>
          <w:tblCellMar>
            <w:top w:w="0" w:type="dxa"/>
            <w:left w:w="108" w:type="dxa"/>
            <w:bottom w:w="0" w:type="dxa"/>
            <w:right w:w="108" w:type="dxa"/>
          </w:tblCellMar>
        </w:tblPrEx>
        <w:trPr>
          <w:trHeight w:val="54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序号</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站点名称</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经度</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纬度</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建设类型</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站址属性</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系统类型</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天线挂高范围(m)</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建设方式</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需求年份</w:t>
            </w:r>
          </w:p>
        </w:tc>
      </w:tr>
      <w:tr>
        <w:tblPrEx>
          <w:tblCellMar>
            <w:top w:w="0" w:type="dxa"/>
            <w:left w:w="108" w:type="dxa"/>
            <w:bottom w:w="0" w:type="dxa"/>
            <w:right w:w="108" w:type="dxa"/>
          </w:tblCellMar>
        </w:tblPrEx>
        <w:trPr>
          <w:trHeight w:val="525"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w:t>
            </w:r>
          </w:p>
        </w:tc>
        <w:tc>
          <w:tcPr>
            <w:tcW w:w="151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新城国际公寓东北</w:t>
            </w:r>
          </w:p>
        </w:tc>
        <w:tc>
          <w:tcPr>
            <w:tcW w:w="99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110.133792</w:t>
            </w:r>
          </w:p>
        </w:tc>
        <w:tc>
          <w:tcPr>
            <w:tcW w:w="84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19.925122</w:t>
            </w:r>
          </w:p>
        </w:tc>
        <w:tc>
          <w:tcPr>
            <w:tcW w:w="5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27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新城数字经济总部</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110.130869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19.92288</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54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新城国际公寓2</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110.132262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19.922501</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54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新城国际公寓1</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110.132141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19.920866</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54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5</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新城蓝梦二路灯杆</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110.126496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19.921279</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54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6</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新城星际酒店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110.127941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19.922778</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54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7</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未来体育培训楼</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110.135216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19.917161</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54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8</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新城数字金融中心</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110.124463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19.917028</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810" w:hRule="atLeast"/>
          <w:jc w:val="center"/>
        </w:trPr>
        <w:tc>
          <w:tcPr>
            <w:tcW w:w="46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9</w:t>
            </w:r>
          </w:p>
        </w:tc>
        <w:tc>
          <w:tcPr>
            <w:tcW w:w="151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新城蓝梦三路灯杆1</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110.126876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19.916807</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10</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新城商业中心</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110.131195</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19.909941</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新城学区社区1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110.131577</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19.913808</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12</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新城学区社区2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110.133694</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19.911067</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13</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新城学区社区3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110.135719</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19.913823</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14</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新城蓝梦四路灯杆4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110.138289</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19.912894</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15</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新城蓝梦四路灯杆3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110.13534</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19.909913</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16</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新城森林公园灯杆2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110.126582</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19.910382</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17</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新城森林公园灯杆3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110.128791</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19.908371</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18</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澄迈白莲村1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110.123687</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19.913618</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澄迈白莲村2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110.122986</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19.910768</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澄迈白莲村3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110.123161</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19.908121</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21</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新城康知社区1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110.12568</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19.90683</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22</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新城康知社区2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110.127991</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19.905751</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23</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新城蓝梦四路灯杆1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110.125691</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19.902605</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灯杆站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24</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澄迈白莲新城1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110.122012</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19.903033</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25</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澄迈白莲新城2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110.118895</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19.900631</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26</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新城数字健康生态村1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110.130851</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19.905303</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27</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新城数字健康生态村2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110.128657</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19.903092</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28</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新城健康生态村3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110.130707</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19.901464</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29</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新城健康生态村4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110.133452</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19.903894</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30</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新城离岸数据生态村1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110.135433</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19.907006</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r>
        <w:tblPrEx>
          <w:tblCellMar>
            <w:top w:w="0" w:type="dxa"/>
            <w:left w:w="108" w:type="dxa"/>
            <w:bottom w:w="0" w:type="dxa"/>
            <w:right w:w="108" w:type="dxa"/>
          </w:tblCellMar>
        </w:tblPrEx>
        <w:trPr>
          <w:trHeight w:val="1080" w:hRule="atLeast"/>
          <w:jc w:val="center"/>
        </w:trPr>
        <w:tc>
          <w:tcPr>
            <w:tcW w:w="4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31</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新城离岸数据生态村2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110.137539</w:t>
            </w:r>
          </w:p>
        </w:tc>
        <w:tc>
          <w:tcPr>
            <w:tcW w:w="84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19.909177</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新建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楼面站</w:t>
            </w:r>
          </w:p>
        </w:tc>
        <w:tc>
          <w:tcPr>
            <w:tcW w:w="93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4G/5G</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20≤H&lt;30</w:t>
            </w:r>
          </w:p>
        </w:tc>
        <w:tc>
          <w:tcPr>
            <w:tcW w:w="80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共建</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cs="宋体" w:asciiTheme="minorEastAsia" w:hAnsiTheme="minorEastAsia"/>
                <w:kern w:val="0"/>
                <w:sz w:val="18"/>
                <w:szCs w:val="18"/>
              </w:rPr>
              <w:t>远期</w:t>
            </w:r>
          </w:p>
        </w:tc>
      </w:tr>
    </w:tbl>
    <w:p>
      <w:pPr>
        <w:pStyle w:val="4"/>
        <w:numPr>
          <w:ilvl w:val="2"/>
          <w:numId w:val="13"/>
        </w:numPr>
        <w:ind w:firstLineChars="0"/>
      </w:pPr>
      <w:bookmarkStart w:id="255" w:name="_Toc2036385389"/>
      <w:r>
        <w:t>微站规划方案</w:t>
      </w:r>
      <w:bookmarkEnd w:id="255"/>
    </w:p>
    <w:p>
      <w:pPr>
        <w:ind w:firstLine="480"/>
      </w:pPr>
      <w:r>
        <w:t>规划期内根据实际覆盖情况应建设小微站解决</w:t>
      </w:r>
      <w:r>
        <w:rPr>
          <w:rFonts w:hint="eastAsia"/>
        </w:rPr>
        <w:t>产业</w:t>
      </w:r>
      <w:r>
        <w:t>园区的道路</w:t>
      </w:r>
      <w:r>
        <w:rPr>
          <w:rFonts w:hint="eastAsia"/>
        </w:rPr>
        <w:t>、</w:t>
      </w:r>
      <w:r>
        <w:t>热点</w:t>
      </w:r>
      <w:r>
        <w:rPr>
          <w:rFonts w:hint="eastAsia"/>
        </w:rPr>
        <w:t>、</w:t>
      </w:r>
      <w:r>
        <w:t>盲点的覆盖需求</w:t>
      </w:r>
      <w:r>
        <w:rPr>
          <w:rFonts w:hint="eastAsia"/>
        </w:rPr>
        <w:t>。</w:t>
      </w:r>
      <w:r>
        <w:t>微站建设情况如下</w:t>
      </w:r>
      <w:r>
        <w:rPr>
          <w:rFonts w:hint="eastAsia"/>
        </w:rPr>
        <w:t>：</w:t>
      </w:r>
    </w:p>
    <w:tbl>
      <w:tblPr>
        <w:tblStyle w:val="17"/>
        <w:tblW w:w="0" w:type="auto"/>
        <w:jc w:val="center"/>
        <w:tblLayout w:type="fixed"/>
        <w:tblCellMar>
          <w:top w:w="0" w:type="dxa"/>
          <w:left w:w="108" w:type="dxa"/>
          <w:bottom w:w="0" w:type="dxa"/>
          <w:right w:w="108" w:type="dxa"/>
        </w:tblCellMar>
      </w:tblPr>
      <w:tblGrid>
        <w:gridCol w:w="636"/>
        <w:gridCol w:w="3328"/>
        <w:gridCol w:w="3404"/>
        <w:gridCol w:w="846"/>
      </w:tblGrid>
      <w:tr>
        <w:tblPrEx>
          <w:tblCellMar>
            <w:top w:w="0" w:type="dxa"/>
            <w:left w:w="108" w:type="dxa"/>
            <w:bottom w:w="0" w:type="dxa"/>
            <w:right w:w="108" w:type="dxa"/>
          </w:tblCellMar>
        </w:tblPrEx>
        <w:trPr>
          <w:trHeight w:val="27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1"/>
                <w:szCs w:val="21"/>
              </w:rPr>
            </w:pPr>
            <w:r>
              <w:rPr>
                <w:rFonts w:hint="eastAsia"/>
                <w:color w:val="000000"/>
                <w:sz w:val="21"/>
                <w:szCs w:val="21"/>
              </w:rPr>
              <w:t>序号</w:t>
            </w:r>
          </w:p>
        </w:tc>
        <w:tc>
          <w:tcPr>
            <w:tcW w:w="332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站点名称</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微站建设数量</w:t>
            </w:r>
          </w:p>
        </w:tc>
        <w:tc>
          <w:tcPr>
            <w:tcW w:w="84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规划期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ascii="宋体" w:hAnsi="宋体" w:cs="宋体"/>
                <w:color w:val="000000"/>
                <w:sz w:val="21"/>
                <w:szCs w:val="21"/>
              </w:rPr>
              <w:t>电竞数码港</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近期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2</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腾讯生态村</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5</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近期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3</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微城未来学校</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3</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近期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4</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游戏数码港</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5</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高知社区</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6</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6</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别墅区</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4</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7</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创业产业设计园</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8</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高管社区</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9</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百度生态村</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5</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10</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青年公寓</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3</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智力产业基地</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4</w:t>
            </w:r>
          </w:p>
        </w:tc>
        <w:tc>
          <w:tcPr>
            <w:tcW w:w="846" w:type="dxa"/>
            <w:tcBorders>
              <w:top w:val="nil"/>
              <w:left w:val="nil"/>
              <w:bottom w:val="single" w:color="auto" w:sz="4" w:space="0"/>
              <w:right w:val="single" w:color="auto" w:sz="4" w:space="0"/>
            </w:tcBorders>
            <w:shd w:val="clear" w:color="auto" w:fill="auto"/>
            <w:noWrap/>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12</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数字总部中心</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13</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数字金融中心</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14</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澄迈智慧新城创客体验中心</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5</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15</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商业中心</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3</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16</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学区社区</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6</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17</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康知社区</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5</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63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18</w:t>
            </w:r>
          </w:p>
        </w:tc>
        <w:tc>
          <w:tcPr>
            <w:tcW w:w="3328"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数字健康生态村</w:t>
            </w:r>
          </w:p>
        </w:tc>
        <w:tc>
          <w:tcPr>
            <w:tcW w:w="340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5</w:t>
            </w:r>
          </w:p>
        </w:tc>
        <w:tc>
          <w:tcPr>
            <w:tcW w:w="84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w:t>
            </w:r>
          </w:p>
        </w:tc>
        <w:tc>
          <w:tcPr>
            <w:tcW w:w="332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离岸数据生态村</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5</w:t>
            </w:r>
          </w:p>
        </w:tc>
        <w:tc>
          <w:tcPr>
            <w:tcW w:w="84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396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合计</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color w:val="000000"/>
                <w:sz w:val="21"/>
                <w:szCs w:val="21"/>
              </w:rPr>
              <w:t>77</w:t>
            </w:r>
          </w:p>
        </w:tc>
        <w:tc>
          <w:tcPr>
            <w:tcW w:w="84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p>
        </w:tc>
      </w:tr>
    </w:tbl>
    <w:p>
      <w:pPr>
        <w:ind w:firstLine="480"/>
      </w:pPr>
    </w:p>
    <w:p>
      <w:pPr>
        <w:pStyle w:val="3"/>
        <w:numPr>
          <w:ilvl w:val="1"/>
          <w:numId w:val="4"/>
        </w:numPr>
        <w:spacing w:before="156" w:after="163"/>
      </w:pPr>
      <w:bookmarkStart w:id="256" w:name="_Toc940417805"/>
      <w:r>
        <w:t>室内覆盖规划方案</w:t>
      </w:r>
      <w:bookmarkEnd w:id="256"/>
    </w:p>
    <w:p>
      <w:pPr>
        <w:ind w:firstLine="480"/>
      </w:pPr>
      <w:r>
        <w:rPr>
          <w:rFonts w:hint="eastAsia"/>
        </w:rPr>
        <w:t>为满足规划区内室分网络覆盖，需新建1</w:t>
      </w:r>
      <w:r>
        <w:t>8个室分站点</w:t>
      </w:r>
      <w:r>
        <w:rPr>
          <w:rFonts w:hint="eastAsia"/>
        </w:rPr>
        <w:t>。根据产业园区建设进度，室分站点规划分近期、中期、远期规划。</w:t>
      </w:r>
    </w:p>
    <w:p>
      <w:pPr>
        <w:ind w:firstLine="480"/>
      </w:pPr>
      <w:r>
        <w:rPr>
          <w:rFonts w:hint="eastAsia"/>
        </w:rPr>
        <w:t>近期主要覆盖微城未来学校、腾讯生态村等已投产或已开工建设项目。近期覆盖建筑面积5</w:t>
      </w:r>
      <w:r>
        <w:t>3.25万平米</w:t>
      </w:r>
      <w:r>
        <w:rPr>
          <w:rFonts w:hint="eastAsia"/>
        </w:rPr>
        <w:t>；</w:t>
      </w:r>
    </w:p>
    <w:p>
      <w:pPr>
        <w:ind w:firstLine="480"/>
      </w:pPr>
      <w:r>
        <w:t>中期主要覆盖产业园区北部片区的海南国际电竞港</w:t>
      </w:r>
      <w:r>
        <w:rPr>
          <w:rFonts w:hint="eastAsia"/>
        </w:rPr>
        <w:t>、游戏数码港、百度生态村、人才公寓、青年公寓、高知社区、数字总部中心等；中期覆盖建筑面积2</w:t>
      </w:r>
      <w:r>
        <w:t>32.75万平米</w:t>
      </w:r>
      <w:r>
        <w:rPr>
          <w:rFonts w:hint="eastAsia"/>
        </w:rPr>
        <w:t>；</w:t>
      </w:r>
    </w:p>
    <w:p>
      <w:pPr>
        <w:ind w:firstLine="480"/>
      </w:pPr>
      <w:r>
        <w:t>远期主要覆盖起步区南部片区的学区社区</w:t>
      </w:r>
      <w:r>
        <w:rPr>
          <w:rFonts w:hint="eastAsia"/>
        </w:rPr>
        <w:t>、</w:t>
      </w:r>
      <w:r>
        <w:t>商业中心</w:t>
      </w:r>
      <w:r>
        <w:rPr>
          <w:rFonts w:hint="eastAsia"/>
        </w:rPr>
        <w:t>、离岸数据生态城、数字健康生态村、康知社区等；远期覆盖建筑面积2</w:t>
      </w:r>
      <w:r>
        <w:t>59.59万平米</w:t>
      </w:r>
      <w:r>
        <w:rPr>
          <w:rFonts w:hint="eastAsia"/>
        </w:rPr>
        <w:t>。</w:t>
      </w:r>
    </w:p>
    <w:p>
      <w:pPr>
        <w:ind w:firstLine="480"/>
      </w:pPr>
      <w:r>
        <w:t>规划</w:t>
      </w:r>
      <w:r>
        <w:rPr>
          <w:rFonts w:hint="eastAsia"/>
        </w:rPr>
        <w:t>室分站点分布图如下：</w:t>
      </w:r>
    </w:p>
    <w:p>
      <w:pPr>
        <w:ind w:firstLine="0" w:firstLineChars="0"/>
        <w:jc w:val="center"/>
      </w:pPr>
      <w:r>
        <w:drawing>
          <wp:inline distT="0" distB="0" distL="0" distR="0">
            <wp:extent cx="3657600" cy="4759325"/>
            <wp:effectExtent l="0" t="0" r="0" b="3175"/>
            <wp:docPr id="452" name="图片 4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true"/>
                    </pic:cNvPicPr>
                  </pic:nvPicPr>
                  <pic:blipFill>
                    <a:blip r:embed="rId32"/>
                    <a:stretch>
                      <a:fillRect/>
                    </a:stretch>
                  </pic:blipFill>
                  <pic:spPr>
                    <a:xfrm>
                      <a:off x="0" y="0"/>
                      <a:ext cx="3668793" cy="4774036"/>
                    </a:xfrm>
                    <a:prstGeom prst="rect">
                      <a:avLst/>
                    </a:prstGeom>
                  </pic:spPr>
                </pic:pic>
              </a:graphicData>
            </a:graphic>
          </wp:inline>
        </w:drawing>
      </w:r>
    </w:p>
    <w:p>
      <w:pPr>
        <w:ind w:firstLine="0" w:firstLineChars="0"/>
        <w:jc w:val="center"/>
      </w:pPr>
      <w:r>
        <w:t>图</w:t>
      </w:r>
      <w:r>
        <w:rPr>
          <w:rFonts w:hint="eastAsia"/>
        </w:rPr>
        <w:t>6</w:t>
      </w:r>
      <w:r>
        <w:t>.2 室分规划分布图</w:t>
      </w:r>
    </w:p>
    <w:p>
      <w:pPr>
        <w:ind w:firstLine="0" w:firstLineChars="0"/>
        <w:jc w:val="center"/>
      </w:pPr>
      <w:r>
        <w:rPr>
          <w:rFonts w:hint="eastAsia"/>
        </w:rPr>
        <w:t>表6</w:t>
      </w:r>
      <w:r>
        <w:t>.2 室分规划</w:t>
      </w:r>
      <w:r>
        <w:rPr>
          <w:rFonts w:hint="eastAsia"/>
        </w:rPr>
        <w:t>站点</w:t>
      </w:r>
      <w:r>
        <w:t>表</w:t>
      </w:r>
    </w:p>
    <w:tbl>
      <w:tblPr>
        <w:tblStyle w:val="17"/>
        <w:tblW w:w="0" w:type="auto"/>
        <w:jc w:val="center"/>
        <w:tblLayout w:type="autofit"/>
        <w:tblCellMar>
          <w:top w:w="0" w:type="dxa"/>
          <w:left w:w="108" w:type="dxa"/>
          <w:bottom w:w="0" w:type="dxa"/>
          <w:right w:w="108" w:type="dxa"/>
        </w:tblCellMar>
      </w:tblPr>
      <w:tblGrid>
        <w:gridCol w:w="437"/>
        <w:gridCol w:w="1660"/>
        <w:gridCol w:w="888"/>
        <w:gridCol w:w="817"/>
        <w:gridCol w:w="660"/>
        <w:gridCol w:w="1145"/>
        <w:gridCol w:w="2255"/>
        <w:gridCol w:w="660"/>
      </w:tblGrid>
      <w:tr>
        <w:tblPrEx>
          <w:tblCellMar>
            <w:top w:w="0" w:type="dxa"/>
            <w:left w:w="108" w:type="dxa"/>
            <w:bottom w:w="0" w:type="dxa"/>
            <w:right w:w="108" w:type="dxa"/>
          </w:tblCellMar>
        </w:tblPrEx>
        <w:trPr>
          <w:trHeight w:val="27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1"/>
                <w:szCs w:val="21"/>
              </w:rPr>
            </w:pPr>
            <w:r>
              <w:rPr>
                <w:rFonts w:hint="eastAsia"/>
                <w:color w:val="000000"/>
                <w:sz w:val="21"/>
                <w:szCs w:val="21"/>
              </w:rPr>
              <w:t>序号</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站点名称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经度</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纬度</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hint="eastAsia" w:cs="Calibri"/>
                <w:color w:val="000000"/>
                <w:sz w:val="21"/>
                <w:szCs w:val="21"/>
              </w:rPr>
              <w:t>建设方式</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预估覆盖面积</w:t>
            </w:r>
            <w:r>
              <w:rPr>
                <w:rFonts w:ascii="Calibri" w:hAnsi="Calibri" w:cs="Calibri"/>
                <w:color w:val="000000"/>
                <w:sz w:val="21"/>
                <w:szCs w:val="21"/>
              </w:rPr>
              <w:t>(</w:t>
            </w:r>
            <w:r>
              <w:rPr>
                <w:rFonts w:hint="eastAsia"/>
                <w:color w:val="000000"/>
                <w:sz w:val="21"/>
                <w:szCs w:val="21"/>
              </w:rPr>
              <w:t>㎡</w:t>
            </w:r>
            <w:r>
              <w:rPr>
                <w:rFonts w:ascii="Calibri" w:hAnsi="Calibri" w:cs="Calibri"/>
                <w:color w:val="000000"/>
                <w:sz w:val="21"/>
                <w:szCs w:val="21"/>
              </w:rPr>
              <w:t>)</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覆盖范围描述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建设年份</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澄迈老城微城未来学校</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110.131633</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19.918331</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约22.27万平方米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微城未来学校</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近期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2</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澄迈智慧新城腾讯生态村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110.132506</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19.92847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约30.98万平方米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腾讯生态村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近期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3</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澄迈智慧新城游戏数码港</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110.140862</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19.934715</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约25万平方米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电竞港、游戏数码港</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4</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澄迈智慧新城高知社区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110.14027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19.930068</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约40万平方米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高知社区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5</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澄迈智慧新城定制别墅区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110.144759</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19.930347</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约13万平方米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定制别墅</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6</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澄迈智慧新城创业产业设计园</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110.137432</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19.930247</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约7.2万平方米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创业产业设计园</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澄迈智慧新城高管社区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110.1351</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19.933221</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约9.2万平方米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高管社区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8</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澄迈智慧新城百度生态村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110.130706</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19.932335</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约46.9万平方米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百度生态村、青年人才社区、青年公寓</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9</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澄迈智慧新城智力产业基地</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110.128665</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19.928577</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约16.84万平方米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智力产业基地、数字加密岛</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澄迈智慧新城数字博览馆</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110.128409</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19.923239</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约13.93万平方米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数字博览馆、数字文明社区、星际酒店</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澄迈智慧新城数字总部中心</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110.131252</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19.923069</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约47.33万平方米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数字总部中心、国际公寓</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12</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澄迈智慧新城数字金融中心</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110.125686</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19.918022</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约20.55万平方米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数字金融中心</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中期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13</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澄迈智慧新城创客体验</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110.12447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19.912909</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约43.07万平方米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D-01-02，D-01-08，D-01-09三个地块</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14</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澄迈智慧新城商业中心</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110.131675</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19.913208</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约29.7万平方米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D-02-03地块以及商业中心</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15</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澄迈智慧新城学区社区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110.135677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19.914602</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约57.07万平方米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学区社区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16</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澄迈智慧新城康知社区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110.126235</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19.9057</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约33.86万平方米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康知社区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澄迈智慧新城数字健康生态村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110.131141</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19.904162</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约58.81万平方米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数字健康生态村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r>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18</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澄迈智慧新城离岸数据生态村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110.136577</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Calibri" w:hAnsi="Calibri" w:cs="Calibri"/>
                <w:color w:val="000000"/>
                <w:sz w:val="21"/>
                <w:szCs w:val="21"/>
              </w:rPr>
            </w:pPr>
            <w:r>
              <w:rPr>
                <w:rFonts w:ascii="Calibri" w:hAnsi="Calibri" w:cs="Calibri"/>
                <w:color w:val="000000"/>
                <w:sz w:val="21"/>
                <w:szCs w:val="21"/>
              </w:rPr>
              <w:t>19.909503</w:t>
            </w:r>
          </w:p>
        </w:tc>
        <w:tc>
          <w:tcPr>
            <w:tcW w:w="0" w:type="auto"/>
            <w:tcBorders>
              <w:top w:val="nil"/>
              <w:left w:val="nil"/>
              <w:bottom w:val="single" w:color="auto" w:sz="4" w:space="0"/>
              <w:right w:val="single" w:color="auto" w:sz="4" w:space="0"/>
            </w:tcBorders>
            <w:shd w:val="clear" w:color="auto" w:fill="auto"/>
            <w:noWrap/>
          </w:tcPr>
          <w:p>
            <w:pPr>
              <w:spacing w:line="240" w:lineRule="auto"/>
              <w:ind w:firstLine="0" w:firstLineChars="0"/>
            </w:pPr>
            <w:r>
              <w:rPr>
                <w:rFonts w:hint="eastAsia"/>
                <w:color w:val="000000"/>
                <w:sz w:val="21"/>
                <w:szCs w:val="21"/>
              </w:rPr>
              <w:t>共建</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约29.88万平方米</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离岸数据生态村</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color w:val="000000"/>
                <w:sz w:val="21"/>
                <w:szCs w:val="21"/>
              </w:rPr>
            </w:pPr>
            <w:r>
              <w:rPr>
                <w:rFonts w:hint="eastAsia"/>
                <w:color w:val="000000"/>
                <w:sz w:val="21"/>
                <w:szCs w:val="21"/>
              </w:rPr>
              <w:t>远期</w:t>
            </w:r>
          </w:p>
        </w:tc>
      </w:tr>
    </w:tbl>
    <w:p>
      <w:pPr>
        <w:pStyle w:val="3"/>
        <w:numPr>
          <w:ilvl w:val="1"/>
          <w:numId w:val="4"/>
        </w:numPr>
        <w:spacing w:before="156" w:after="163"/>
      </w:pPr>
      <w:bookmarkStart w:id="257" w:name="_Toc1490658498"/>
      <w:r>
        <w:t>通信局房规划</w:t>
      </w:r>
      <w:bookmarkEnd w:id="257"/>
    </w:p>
    <w:p>
      <w:pPr>
        <w:ind w:firstLine="480"/>
        <w:rPr>
          <w:rFonts w:ascii="宋体" w:hAnsi="宋体" w:cs="宋体"/>
          <w:szCs w:val="24"/>
        </w:rPr>
      </w:pPr>
      <w:r>
        <w:rPr>
          <w:rFonts w:hint="eastAsia"/>
        </w:rPr>
        <w:t>本期规划数据中心一座，</w:t>
      </w:r>
      <w:r>
        <w:rPr>
          <w:rFonts w:ascii="宋体" w:hAnsi="宋体" w:eastAsia="宋体" w:cs="宋体"/>
          <w:szCs w:val="24"/>
        </w:rPr>
        <w:t>建筑面积为55000m²</w:t>
      </w:r>
      <w:r>
        <w:rPr>
          <w:rFonts w:hint="eastAsia" w:ascii="宋体" w:hAnsi="宋体" w:eastAsia="宋体" w:cs="宋体"/>
          <w:szCs w:val="24"/>
        </w:rPr>
        <w:t>，</w:t>
      </w:r>
      <w:r>
        <w:rPr>
          <w:rFonts w:hint="eastAsia" w:ascii="宋体" w:hAnsi="宋体" w:cs="宋体"/>
          <w:szCs w:val="24"/>
        </w:rPr>
        <w:t>初步规划位置为:离岸数据生态村地块。</w:t>
      </w:r>
    </w:p>
    <w:p>
      <w:pPr>
        <w:ind w:firstLine="480"/>
      </w:pPr>
      <w:r>
        <w:rPr>
          <w:rFonts w:hint="eastAsia"/>
        </w:rPr>
        <w:t>数据中心应分期建设，</w:t>
      </w:r>
      <w:r>
        <w:rPr>
          <w:rFonts w:ascii="宋体" w:hAnsi="宋体" w:eastAsia="宋体" w:cs="宋体"/>
          <w:szCs w:val="24"/>
        </w:rPr>
        <w:t>计划共建设6000个设备机架</w:t>
      </w:r>
      <w:r>
        <w:rPr>
          <w:rFonts w:hint="eastAsia" w:ascii="宋体" w:hAnsi="宋体" w:eastAsia="宋体" w:cs="宋体"/>
          <w:szCs w:val="24"/>
        </w:rPr>
        <w:t>，</w:t>
      </w:r>
      <w:r>
        <w:rPr>
          <w:rFonts w:hint="eastAsia"/>
        </w:rPr>
        <w:t>其中第一期计划新建1500个设备机柜。设备机柜按7.5KW/机柜用电功耗、空调冷量按2.5KW/机柜设计。市电高压（10KV）按2路引入，初期容量约为24000KVA/路，远期容量为48000KVA/路。</w:t>
      </w:r>
    </w:p>
    <w:p>
      <w:pPr>
        <w:ind w:firstLine="480"/>
      </w:pPr>
      <w:r>
        <w:drawing>
          <wp:inline distT="0" distB="0" distL="0" distR="0">
            <wp:extent cx="4399915" cy="4561840"/>
            <wp:effectExtent l="0" t="0" r="635"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33"/>
                    <a:stretch>
                      <a:fillRect/>
                    </a:stretch>
                  </pic:blipFill>
                  <pic:spPr>
                    <a:xfrm>
                      <a:off x="0" y="0"/>
                      <a:ext cx="4400000" cy="4561905"/>
                    </a:xfrm>
                    <a:prstGeom prst="rect">
                      <a:avLst/>
                    </a:prstGeom>
                  </pic:spPr>
                </pic:pic>
              </a:graphicData>
            </a:graphic>
          </wp:inline>
        </w:drawing>
      </w:r>
    </w:p>
    <w:p>
      <w:pPr>
        <w:ind w:firstLine="480"/>
        <w:jc w:val="center"/>
      </w:pPr>
      <w:r>
        <w:t>图</w:t>
      </w:r>
      <w:r>
        <w:rPr>
          <w:rFonts w:hint="eastAsia"/>
        </w:rPr>
        <w:t>6</w:t>
      </w:r>
      <w:r>
        <w:t>.3</w:t>
      </w:r>
      <w:r>
        <w:rPr>
          <w:rFonts w:hint="eastAsia"/>
        </w:rPr>
        <w:t>-</w:t>
      </w:r>
      <w:r>
        <w:t>1 数据中心</w:t>
      </w:r>
      <w:r>
        <w:rPr>
          <w:rFonts w:hint="eastAsia"/>
        </w:rPr>
        <w:t>（电信）</w:t>
      </w:r>
      <w:r>
        <w:t>规划位置图</w:t>
      </w:r>
    </w:p>
    <w:p>
      <w:pPr>
        <w:ind w:firstLine="480"/>
        <w:rPr>
          <w:rFonts w:ascii="宋体" w:hAnsi="宋体" w:eastAsia="宋体" w:cs="宋体"/>
          <w:szCs w:val="24"/>
        </w:rPr>
      </w:pPr>
      <w:r>
        <w:rPr>
          <w:rFonts w:hint="eastAsia"/>
        </w:rPr>
        <w:t>本期规划</w:t>
      </w:r>
      <w:r>
        <w:rPr>
          <w:rFonts w:hint="eastAsia" w:ascii="宋体" w:hAnsi="宋体" w:eastAsia="宋体" w:cs="宋体"/>
          <w:szCs w:val="24"/>
        </w:rPr>
        <w:t>汇聚机房</w:t>
      </w:r>
      <w:r>
        <w:rPr>
          <w:rFonts w:ascii="宋体" w:hAnsi="宋体" w:eastAsia="宋体" w:cs="宋体"/>
          <w:szCs w:val="24"/>
        </w:rPr>
        <w:t>4</w:t>
      </w:r>
      <w:r>
        <w:rPr>
          <w:rFonts w:hint="eastAsia" w:ascii="宋体" w:hAnsi="宋体" w:eastAsia="宋体" w:cs="宋体"/>
          <w:szCs w:val="24"/>
        </w:rPr>
        <w:t>座，分别位于电竞港、腾讯生态村、未来学校、数字健康生态村。每汇聚机房面积不下于1</w:t>
      </w:r>
      <w:r>
        <w:rPr>
          <w:rFonts w:ascii="宋体" w:hAnsi="宋体" w:eastAsia="宋体" w:cs="宋体"/>
          <w:szCs w:val="24"/>
        </w:rPr>
        <w:t>80平米</w:t>
      </w:r>
      <w:r>
        <w:rPr>
          <w:rFonts w:hint="eastAsia" w:ascii="宋体" w:hAnsi="宋体" w:eastAsia="宋体" w:cs="宋体"/>
          <w:szCs w:val="24"/>
        </w:rPr>
        <w:t>，每家</w:t>
      </w:r>
      <w:r>
        <w:rPr>
          <w:rFonts w:ascii="宋体" w:hAnsi="宋体" w:eastAsia="宋体" w:cs="宋体"/>
          <w:szCs w:val="24"/>
        </w:rPr>
        <w:t>运营商</w:t>
      </w:r>
      <w:r>
        <w:rPr>
          <w:rFonts w:hint="eastAsia" w:ascii="宋体" w:hAnsi="宋体" w:eastAsia="宋体" w:cs="宋体"/>
          <w:szCs w:val="24"/>
        </w:rPr>
        <w:t>不小于</w:t>
      </w:r>
      <w:r>
        <w:rPr>
          <w:rFonts w:ascii="宋体" w:hAnsi="宋体" w:eastAsia="宋体" w:cs="宋体"/>
          <w:szCs w:val="24"/>
        </w:rPr>
        <w:t>60平米</w:t>
      </w:r>
      <w:r>
        <w:rPr>
          <w:rFonts w:hint="eastAsia" w:ascii="宋体" w:hAnsi="宋体" w:eastAsia="宋体" w:cs="宋体"/>
          <w:szCs w:val="24"/>
        </w:rPr>
        <w:t>。</w:t>
      </w:r>
    </w:p>
    <w:p>
      <w:pPr>
        <w:ind w:firstLine="480"/>
      </w:pPr>
      <w:r>
        <w:rPr>
          <w:rFonts w:hint="eastAsia"/>
        </w:rPr>
        <w:t>汇聚机房规划位置如下图所示：</w:t>
      </w:r>
    </w:p>
    <w:p>
      <w:pPr>
        <w:ind w:firstLine="0" w:firstLineChars="0"/>
        <w:jc w:val="center"/>
      </w:pPr>
      <w:r>
        <w:drawing>
          <wp:inline distT="0" distB="0" distL="0" distR="0">
            <wp:extent cx="4237990" cy="4504690"/>
            <wp:effectExtent l="0" t="0" r="0" b="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34"/>
                    <a:stretch>
                      <a:fillRect/>
                    </a:stretch>
                  </pic:blipFill>
                  <pic:spPr>
                    <a:xfrm>
                      <a:off x="0" y="0"/>
                      <a:ext cx="4238095" cy="4504762"/>
                    </a:xfrm>
                    <a:prstGeom prst="rect">
                      <a:avLst/>
                    </a:prstGeom>
                  </pic:spPr>
                </pic:pic>
              </a:graphicData>
            </a:graphic>
          </wp:inline>
        </w:drawing>
      </w:r>
    </w:p>
    <w:p>
      <w:pPr>
        <w:ind w:firstLine="0" w:firstLineChars="0"/>
        <w:jc w:val="center"/>
      </w:pPr>
      <w:r>
        <w:rPr>
          <w:rFonts w:hint="eastAsia"/>
        </w:rPr>
        <w:t>图6</w:t>
      </w:r>
      <w:r>
        <w:t>.3</w:t>
      </w:r>
      <w:r>
        <w:rPr>
          <w:rFonts w:hint="eastAsia"/>
        </w:rPr>
        <w:t>-</w:t>
      </w:r>
      <w:r>
        <w:t>2</w:t>
      </w:r>
      <w:r>
        <w:rPr>
          <w:rFonts w:hint="eastAsia"/>
        </w:rPr>
        <w:t>汇聚机房规划图</w:t>
      </w:r>
    </w:p>
    <w:p>
      <w:pPr>
        <w:ind w:firstLine="0" w:firstLineChars="0"/>
        <w:jc w:val="center"/>
      </w:pPr>
      <w:r>
        <w:rPr>
          <w:rFonts w:hint="eastAsia"/>
        </w:rPr>
        <w:t>表6</w:t>
      </w:r>
      <w:r>
        <w:t>.3</w:t>
      </w:r>
      <w:r>
        <w:rPr>
          <w:rFonts w:hint="eastAsia"/>
        </w:rPr>
        <w:t>-</w:t>
      </w:r>
      <w:r>
        <w:t>2</w:t>
      </w:r>
      <w:r>
        <w:rPr>
          <w:rFonts w:hint="eastAsia"/>
        </w:rPr>
        <w:t>通信局房需求表</w:t>
      </w:r>
    </w:p>
    <w:tbl>
      <w:tblPr>
        <w:tblStyle w:val="17"/>
        <w:tblW w:w="5000" w:type="pct"/>
        <w:jc w:val="center"/>
        <w:tblLayout w:type="autofit"/>
        <w:tblCellMar>
          <w:top w:w="0" w:type="dxa"/>
          <w:left w:w="108" w:type="dxa"/>
          <w:bottom w:w="0" w:type="dxa"/>
          <w:right w:w="108" w:type="dxa"/>
        </w:tblCellMar>
      </w:tblPr>
      <w:tblGrid>
        <w:gridCol w:w="586"/>
        <w:gridCol w:w="1884"/>
        <w:gridCol w:w="2069"/>
        <w:gridCol w:w="1513"/>
        <w:gridCol w:w="1513"/>
        <w:gridCol w:w="957"/>
      </w:tblGrid>
      <w:tr>
        <w:tblPrEx>
          <w:tblCellMar>
            <w:top w:w="0" w:type="dxa"/>
            <w:left w:w="108" w:type="dxa"/>
            <w:bottom w:w="0" w:type="dxa"/>
            <w:right w:w="108" w:type="dxa"/>
          </w:tblCellMar>
        </w:tblPrEx>
        <w:trPr>
          <w:trHeight w:val="270" w:hRule="atLeas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03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局房</w:t>
            </w:r>
          </w:p>
        </w:tc>
        <w:tc>
          <w:tcPr>
            <w:tcW w:w="113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位置</w:t>
            </w:r>
          </w:p>
        </w:tc>
        <w:tc>
          <w:tcPr>
            <w:tcW w:w="83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功能</w:t>
            </w:r>
          </w:p>
        </w:tc>
        <w:tc>
          <w:tcPr>
            <w:tcW w:w="83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面积要求</w:t>
            </w:r>
          </w:p>
        </w:tc>
        <w:tc>
          <w:tcPr>
            <w:tcW w:w="83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建设方式</w:t>
            </w:r>
          </w:p>
        </w:tc>
      </w:tr>
      <w:tr>
        <w:tblPrEx>
          <w:tblCellMar>
            <w:top w:w="0" w:type="dxa"/>
            <w:left w:w="108" w:type="dxa"/>
            <w:bottom w:w="0" w:type="dxa"/>
            <w:right w:w="108" w:type="dxa"/>
          </w:tblCellMar>
        </w:tblPrEx>
        <w:trPr>
          <w:trHeight w:val="270" w:hRule="atLeast"/>
          <w:jc w:val="center"/>
        </w:trPr>
        <w:tc>
          <w:tcPr>
            <w:tcW w:w="33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电竞港机房</w:t>
            </w:r>
          </w:p>
        </w:tc>
        <w:tc>
          <w:tcPr>
            <w:tcW w:w="11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国际电竞港</w:t>
            </w:r>
          </w:p>
        </w:tc>
        <w:tc>
          <w:tcPr>
            <w:tcW w:w="8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汇聚机房</w:t>
            </w:r>
          </w:p>
        </w:tc>
        <w:tc>
          <w:tcPr>
            <w:tcW w:w="8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不小于</w:t>
            </w:r>
            <w:r>
              <w:rPr>
                <w:rFonts w:ascii="宋体" w:hAnsi="宋体" w:eastAsia="宋体" w:cs="宋体"/>
                <w:color w:val="000000"/>
                <w:kern w:val="0"/>
                <w:sz w:val="22"/>
              </w:rPr>
              <w:t>300平米</w:t>
            </w:r>
          </w:p>
        </w:tc>
        <w:tc>
          <w:tcPr>
            <w:tcW w:w="8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r>
        <w:tblPrEx>
          <w:tblCellMar>
            <w:top w:w="0" w:type="dxa"/>
            <w:left w:w="108" w:type="dxa"/>
            <w:bottom w:w="0" w:type="dxa"/>
            <w:right w:w="108" w:type="dxa"/>
          </w:tblCellMar>
        </w:tblPrEx>
        <w:trPr>
          <w:trHeight w:val="270" w:hRule="atLeast"/>
          <w:jc w:val="center"/>
        </w:trPr>
        <w:tc>
          <w:tcPr>
            <w:tcW w:w="33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0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腾讯生态村机房</w:t>
            </w:r>
          </w:p>
        </w:tc>
        <w:tc>
          <w:tcPr>
            <w:tcW w:w="11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腾讯生态村地下室</w:t>
            </w:r>
          </w:p>
        </w:tc>
        <w:tc>
          <w:tcPr>
            <w:tcW w:w="8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核心、汇聚机房</w:t>
            </w:r>
          </w:p>
        </w:tc>
        <w:tc>
          <w:tcPr>
            <w:tcW w:w="834"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不小于</w:t>
            </w:r>
            <w:r>
              <w:rPr>
                <w:rFonts w:ascii="宋体" w:hAnsi="宋体" w:eastAsia="宋体" w:cs="宋体"/>
                <w:color w:val="000000"/>
                <w:kern w:val="0"/>
                <w:sz w:val="22"/>
              </w:rPr>
              <w:t>300平米</w:t>
            </w:r>
          </w:p>
        </w:tc>
        <w:tc>
          <w:tcPr>
            <w:tcW w:w="834"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r>
        <w:tblPrEx>
          <w:tblCellMar>
            <w:top w:w="0" w:type="dxa"/>
            <w:left w:w="108" w:type="dxa"/>
            <w:bottom w:w="0" w:type="dxa"/>
            <w:right w:w="108" w:type="dxa"/>
          </w:tblCellMar>
        </w:tblPrEx>
        <w:trPr>
          <w:trHeight w:val="270" w:hRule="atLeast"/>
          <w:jc w:val="center"/>
        </w:trPr>
        <w:tc>
          <w:tcPr>
            <w:tcW w:w="33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0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未来学校机房</w:t>
            </w:r>
          </w:p>
        </w:tc>
        <w:tc>
          <w:tcPr>
            <w:tcW w:w="11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未来学校地下室</w:t>
            </w:r>
          </w:p>
        </w:tc>
        <w:tc>
          <w:tcPr>
            <w:tcW w:w="8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汇聚机房</w:t>
            </w:r>
          </w:p>
        </w:tc>
        <w:tc>
          <w:tcPr>
            <w:tcW w:w="834"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不小于</w:t>
            </w:r>
            <w:r>
              <w:rPr>
                <w:rFonts w:ascii="宋体" w:hAnsi="宋体" w:eastAsia="宋体" w:cs="宋体"/>
                <w:color w:val="000000"/>
                <w:kern w:val="0"/>
                <w:sz w:val="22"/>
              </w:rPr>
              <w:t>300平米</w:t>
            </w:r>
          </w:p>
        </w:tc>
        <w:tc>
          <w:tcPr>
            <w:tcW w:w="834"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r>
        <w:tblPrEx>
          <w:tblCellMar>
            <w:top w:w="0" w:type="dxa"/>
            <w:left w:w="108" w:type="dxa"/>
            <w:bottom w:w="0" w:type="dxa"/>
            <w:right w:w="108" w:type="dxa"/>
          </w:tblCellMar>
        </w:tblPrEx>
        <w:trPr>
          <w:trHeight w:val="270" w:hRule="atLeast"/>
          <w:jc w:val="center"/>
        </w:trPr>
        <w:tc>
          <w:tcPr>
            <w:tcW w:w="33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0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数字健康生态村机房</w:t>
            </w:r>
          </w:p>
        </w:tc>
        <w:tc>
          <w:tcPr>
            <w:tcW w:w="11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数字健康生态村地下室</w:t>
            </w:r>
          </w:p>
        </w:tc>
        <w:tc>
          <w:tcPr>
            <w:tcW w:w="8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汇聚机房</w:t>
            </w:r>
          </w:p>
        </w:tc>
        <w:tc>
          <w:tcPr>
            <w:tcW w:w="834"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不小于</w:t>
            </w:r>
            <w:r>
              <w:rPr>
                <w:rFonts w:ascii="宋体" w:hAnsi="宋体" w:eastAsia="宋体" w:cs="宋体"/>
                <w:color w:val="000000"/>
                <w:kern w:val="0"/>
                <w:sz w:val="22"/>
              </w:rPr>
              <w:t>300平米</w:t>
            </w:r>
          </w:p>
        </w:tc>
        <w:tc>
          <w:tcPr>
            <w:tcW w:w="834"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bl>
    <w:p>
      <w:pPr>
        <w:ind w:firstLine="480"/>
      </w:pPr>
      <w:r>
        <w:t>汇聚机房</w:t>
      </w:r>
      <w:r>
        <w:rPr>
          <w:rFonts w:hint="eastAsia"/>
        </w:rPr>
        <w:t>市电容量按平均</w:t>
      </w:r>
      <w:r>
        <w:t>1.5</w:t>
      </w:r>
      <w:r>
        <w:rPr>
          <w:rFonts w:hint="eastAsia"/>
        </w:rPr>
        <w:t>KW/</w:t>
      </w:r>
      <w:r>
        <w:t>机位计算</w:t>
      </w:r>
      <w:r>
        <w:rPr>
          <w:rFonts w:hint="eastAsia"/>
        </w:rPr>
        <w:t>，具体市电容量需求如下表。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2257"/>
        <w:gridCol w:w="1551"/>
        <w:gridCol w:w="1025"/>
        <w:gridCol w:w="1212"/>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5"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32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局房</w:t>
            </w:r>
          </w:p>
        </w:tc>
        <w:tc>
          <w:tcPr>
            <w:tcW w:w="910"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面积要求</w:t>
            </w:r>
          </w:p>
        </w:tc>
        <w:tc>
          <w:tcPr>
            <w:tcW w:w="601" w:type="pct"/>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机位数</w:t>
            </w:r>
          </w:p>
        </w:tc>
        <w:tc>
          <w:tcPr>
            <w:tcW w:w="711" w:type="pct"/>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外电容量</w:t>
            </w:r>
          </w:p>
        </w:tc>
        <w:tc>
          <w:tcPr>
            <w:tcW w:w="1058"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建设方式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5"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32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电竞港机房</w:t>
            </w:r>
          </w:p>
        </w:tc>
        <w:tc>
          <w:tcPr>
            <w:tcW w:w="910"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300平米</w:t>
            </w:r>
          </w:p>
        </w:tc>
        <w:tc>
          <w:tcPr>
            <w:tcW w:w="60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w:t>
            </w:r>
          </w:p>
        </w:tc>
        <w:tc>
          <w:tcPr>
            <w:tcW w:w="71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450KW</w:t>
            </w:r>
          </w:p>
        </w:tc>
        <w:tc>
          <w:tcPr>
            <w:tcW w:w="1058"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5"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32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腾讯生态村机房</w:t>
            </w:r>
          </w:p>
        </w:tc>
        <w:tc>
          <w:tcPr>
            <w:tcW w:w="910" w:type="pct"/>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300平米</w:t>
            </w:r>
          </w:p>
        </w:tc>
        <w:tc>
          <w:tcPr>
            <w:tcW w:w="60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w:t>
            </w:r>
          </w:p>
        </w:tc>
        <w:tc>
          <w:tcPr>
            <w:tcW w:w="71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450KW</w:t>
            </w:r>
          </w:p>
        </w:tc>
        <w:tc>
          <w:tcPr>
            <w:tcW w:w="1058" w:type="pct"/>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5"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32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未来学校机房</w:t>
            </w:r>
          </w:p>
        </w:tc>
        <w:tc>
          <w:tcPr>
            <w:tcW w:w="910" w:type="pct"/>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300平米</w:t>
            </w:r>
          </w:p>
        </w:tc>
        <w:tc>
          <w:tcPr>
            <w:tcW w:w="60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w:t>
            </w:r>
          </w:p>
        </w:tc>
        <w:tc>
          <w:tcPr>
            <w:tcW w:w="71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450KW</w:t>
            </w:r>
          </w:p>
        </w:tc>
        <w:tc>
          <w:tcPr>
            <w:tcW w:w="1058" w:type="pct"/>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5"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324" w:type="pct"/>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数字健康生态村机房</w:t>
            </w:r>
          </w:p>
        </w:tc>
        <w:tc>
          <w:tcPr>
            <w:tcW w:w="910" w:type="pct"/>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300平米</w:t>
            </w:r>
          </w:p>
        </w:tc>
        <w:tc>
          <w:tcPr>
            <w:tcW w:w="60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300</w:t>
            </w:r>
          </w:p>
        </w:tc>
        <w:tc>
          <w:tcPr>
            <w:tcW w:w="711" w:type="pct"/>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450KW</w:t>
            </w:r>
          </w:p>
        </w:tc>
        <w:tc>
          <w:tcPr>
            <w:tcW w:w="1058" w:type="pct"/>
            <w:shd w:val="clear" w:color="auto" w:fill="auto"/>
            <w:noWrap/>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共建</w:t>
            </w:r>
          </w:p>
        </w:tc>
      </w:tr>
    </w:tbl>
    <w:p>
      <w:pPr>
        <w:pStyle w:val="3"/>
        <w:numPr>
          <w:ilvl w:val="1"/>
          <w:numId w:val="4"/>
        </w:numPr>
        <w:spacing w:before="156" w:after="163"/>
      </w:pPr>
      <w:bookmarkStart w:id="258" w:name="_Toc1910361282"/>
      <w:r>
        <w:rPr>
          <w:rFonts w:hint="eastAsia"/>
        </w:rPr>
        <w:t>通信管道规划方案</w:t>
      </w:r>
      <w:bookmarkEnd w:id="258"/>
    </w:p>
    <w:p>
      <w:pPr>
        <w:ind w:firstLine="480"/>
      </w:pPr>
      <w:r>
        <w:t>海南生态智慧新城起步区已建设市政通信管道</w:t>
      </w:r>
      <w:r>
        <w:rPr>
          <w:rFonts w:hint="eastAsia"/>
        </w:rPr>
        <w:t>，</w:t>
      </w:r>
      <w:r>
        <w:t>且路面硬化绿化已全部完成，本期规划利</w:t>
      </w:r>
      <w:r>
        <w:rPr>
          <w:rFonts w:hint="eastAsia"/>
        </w:rPr>
        <w:t>用</w:t>
      </w:r>
      <w:r>
        <w:t>市政通信管道，原则上园区道路不再新建通信管道</w:t>
      </w:r>
      <w:r>
        <w:rPr>
          <w:rFonts w:hint="eastAsia"/>
        </w:rPr>
        <w:t>。</w:t>
      </w:r>
    </w:p>
    <w:p>
      <w:pPr>
        <w:ind w:firstLine="480"/>
      </w:pPr>
      <w:r>
        <w:t>通信管道资源应集约化使用</w:t>
      </w:r>
      <w:r>
        <w:rPr>
          <w:rFonts w:hint="eastAsia"/>
        </w:rPr>
        <w:t>，并由业主方统筹分配管理。为节约管孔占用，进出通信局房光缆应采用大芯数光缆。</w:t>
      </w:r>
    </w:p>
    <w:p>
      <w:pPr>
        <w:ind w:firstLine="480"/>
      </w:pPr>
      <w:r>
        <w:t>本期规划</w:t>
      </w:r>
      <w:r>
        <w:rPr>
          <w:rFonts w:hint="eastAsia"/>
        </w:rPr>
        <w:t>各</w:t>
      </w:r>
      <w:r>
        <w:t>运营商及铁塔公司需分别占用</w:t>
      </w:r>
      <w:r>
        <w:rPr>
          <w:rFonts w:hint="eastAsia"/>
        </w:rPr>
        <w:t>2孔*φ1</w:t>
      </w:r>
      <w:r>
        <w:t>10PVC管</w:t>
      </w:r>
      <w:r>
        <w:rPr>
          <w:rFonts w:hint="eastAsia"/>
        </w:rPr>
        <w:t>。</w:t>
      </w:r>
      <w:r>
        <w:t>具体管孔分布如下图</w:t>
      </w:r>
      <w:r>
        <w:rPr>
          <w:rFonts w:hint="eastAsia"/>
        </w:rPr>
        <w:t>。</w:t>
      </w:r>
    </w:p>
    <w:p>
      <w:pPr>
        <w:ind w:firstLine="0" w:firstLineChars="0"/>
        <w:jc w:val="center"/>
      </w:pPr>
      <w:r>
        <w:drawing>
          <wp:inline distT="0" distB="0" distL="0" distR="0">
            <wp:extent cx="5038725" cy="2200275"/>
            <wp:effectExtent l="0" t="0" r="9525" b="952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35"/>
                    <a:stretch>
                      <a:fillRect/>
                    </a:stretch>
                  </pic:blipFill>
                  <pic:spPr>
                    <a:xfrm>
                      <a:off x="0" y="0"/>
                      <a:ext cx="5038725" cy="2200275"/>
                    </a:xfrm>
                    <a:prstGeom prst="rect">
                      <a:avLst/>
                    </a:prstGeom>
                  </pic:spPr>
                </pic:pic>
              </a:graphicData>
            </a:graphic>
          </wp:inline>
        </w:drawing>
      </w:r>
    </w:p>
    <w:p>
      <w:pPr>
        <w:ind w:firstLine="0" w:firstLineChars="0"/>
        <w:jc w:val="center"/>
      </w:pPr>
      <w:r>
        <w:t>图</w:t>
      </w:r>
      <w:r>
        <w:rPr>
          <w:rFonts w:hint="eastAsia"/>
        </w:rPr>
        <w:t>6</w:t>
      </w:r>
      <w:r>
        <w:t>.4 通信管道占用图</w:t>
      </w:r>
    </w:p>
    <w:p>
      <w:pPr>
        <w:pStyle w:val="3"/>
        <w:numPr>
          <w:ilvl w:val="1"/>
          <w:numId w:val="4"/>
        </w:numPr>
        <w:spacing w:before="156" w:after="163"/>
      </w:pPr>
      <w:bookmarkStart w:id="259" w:name="_Toc1371258441"/>
      <w:r>
        <w:rPr>
          <w:rFonts w:hint="eastAsia"/>
        </w:rPr>
        <w:t>通信光缆规划方案</w:t>
      </w:r>
      <w:bookmarkEnd w:id="259"/>
    </w:p>
    <w:p>
      <w:pPr>
        <w:pStyle w:val="25"/>
        <w:keepNext/>
        <w:keepLines/>
        <w:numPr>
          <w:ilvl w:val="1"/>
          <w:numId w:val="13"/>
        </w:numPr>
        <w:ind w:firstLineChars="0"/>
        <w:outlineLvl w:val="2"/>
        <w:rPr>
          <w:rFonts w:eastAsia="黑体"/>
          <w:bCs/>
          <w:vanish/>
          <w:sz w:val="28"/>
          <w:szCs w:val="32"/>
        </w:rPr>
      </w:pPr>
      <w:bookmarkStart w:id="260" w:name="_Toc22076733"/>
      <w:bookmarkEnd w:id="260"/>
      <w:bookmarkStart w:id="261" w:name="_Toc18422619"/>
      <w:bookmarkEnd w:id="261"/>
    </w:p>
    <w:p>
      <w:pPr>
        <w:pStyle w:val="25"/>
        <w:keepNext/>
        <w:keepLines/>
        <w:numPr>
          <w:ilvl w:val="1"/>
          <w:numId w:val="13"/>
        </w:numPr>
        <w:ind w:firstLineChars="0"/>
        <w:outlineLvl w:val="2"/>
        <w:rPr>
          <w:rFonts w:eastAsia="黑体"/>
          <w:bCs/>
          <w:vanish/>
          <w:sz w:val="28"/>
          <w:szCs w:val="32"/>
        </w:rPr>
      </w:pPr>
      <w:bookmarkStart w:id="262" w:name="_Toc18422620"/>
      <w:bookmarkEnd w:id="262"/>
      <w:bookmarkStart w:id="263" w:name="_Toc22076734"/>
      <w:bookmarkEnd w:id="263"/>
    </w:p>
    <w:p>
      <w:pPr>
        <w:pStyle w:val="25"/>
        <w:keepNext/>
        <w:keepLines/>
        <w:numPr>
          <w:ilvl w:val="1"/>
          <w:numId w:val="13"/>
        </w:numPr>
        <w:ind w:firstLineChars="0"/>
        <w:outlineLvl w:val="2"/>
        <w:rPr>
          <w:rFonts w:eastAsia="黑体"/>
          <w:bCs/>
          <w:vanish/>
          <w:sz w:val="28"/>
          <w:szCs w:val="32"/>
        </w:rPr>
      </w:pPr>
      <w:bookmarkStart w:id="264" w:name="_Toc22076735"/>
      <w:bookmarkEnd w:id="264"/>
      <w:bookmarkStart w:id="265" w:name="_Toc18422621"/>
      <w:bookmarkEnd w:id="265"/>
    </w:p>
    <w:p>
      <w:pPr>
        <w:pStyle w:val="25"/>
        <w:keepNext/>
        <w:keepLines/>
        <w:numPr>
          <w:ilvl w:val="1"/>
          <w:numId w:val="13"/>
        </w:numPr>
        <w:ind w:firstLineChars="0"/>
        <w:outlineLvl w:val="2"/>
        <w:rPr>
          <w:rFonts w:eastAsia="黑体"/>
          <w:bCs/>
          <w:vanish/>
          <w:sz w:val="28"/>
          <w:szCs w:val="32"/>
        </w:rPr>
      </w:pPr>
      <w:bookmarkStart w:id="266" w:name="_Toc18422622"/>
      <w:bookmarkEnd w:id="266"/>
      <w:bookmarkStart w:id="267" w:name="_Toc22076736"/>
      <w:bookmarkEnd w:id="267"/>
    </w:p>
    <w:p>
      <w:pPr>
        <w:pStyle w:val="4"/>
        <w:numPr>
          <w:ilvl w:val="2"/>
          <w:numId w:val="13"/>
        </w:numPr>
        <w:ind w:firstLineChars="0"/>
      </w:pPr>
      <w:bookmarkStart w:id="268" w:name="_Toc1942534150"/>
      <w:r>
        <w:t>业务区划分</w:t>
      </w:r>
      <w:bookmarkEnd w:id="268"/>
    </w:p>
    <w:p>
      <w:pPr>
        <w:ind w:firstLine="480"/>
      </w:pPr>
      <w:r>
        <w:rPr>
          <w:rFonts w:hint="eastAsia"/>
        </w:rPr>
        <w:t>本期规划将起步区分为3个业务接入区。如下图所示：</w:t>
      </w:r>
    </w:p>
    <w:p>
      <w:pPr>
        <w:ind w:firstLine="480"/>
        <w:jc w:val="center"/>
      </w:pPr>
      <w:r>
        <w:drawing>
          <wp:inline distT="0" distB="0" distL="0" distR="0">
            <wp:extent cx="3693160" cy="4289425"/>
            <wp:effectExtent l="0" t="0" r="254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36"/>
                    <a:stretch>
                      <a:fillRect/>
                    </a:stretch>
                  </pic:blipFill>
                  <pic:spPr>
                    <a:xfrm>
                      <a:off x="0" y="0"/>
                      <a:ext cx="3697613" cy="4294741"/>
                    </a:xfrm>
                    <a:prstGeom prst="rect">
                      <a:avLst/>
                    </a:prstGeom>
                  </pic:spPr>
                </pic:pic>
              </a:graphicData>
            </a:graphic>
          </wp:inline>
        </w:drawing>
      </w:r>
    </w:p>
    <w:p>
      <w:pPr>
        <w:ind w:firstLine="0" w:firstLineChars="0"/>
        <w:jc w:val="center"/>
      </w:pPr>
      <w:r>
        <w:t>图</w:t>
      </w:r>
      <w:r>
        <w:rPr>
          <w:rFonts w:hint="eastAsia"/>
        </w:rPr>
        <w:t>6</w:t>
      </w:r>
      <w:r>
        <w:t>.5</w:t>
      </w:r>
      <w:r>
        <w:rPr>
          <w:rFonts w:hint="eastAsia"/>
        </w:rPr>
        <w:t>-</w:t>
      </w:r>
      <w:r>
        <w:t xml:space="preserve">1 </w:t>
      </w:r>
      <w:r>
        <w:rPr>
          <w:rFonts w:hint="eastAsia"/>
        </w:rPr>
        <w:t>业务区划分</w:t>
      </w:r>
    </w:p>
    <w:p>
      <w:pPr>
        <w:ind w:firstLine="480"/>
      </w:pPr>
      <w:r>
        <w:rPr>
          <w:rFonts w:hint="eastAsia"/>
        </w:rPr>
        <w:t>业务区1主要覆盖国际电竞光、高知社区、腾讯生态村、百度生态村、智力运动基地等产业园区。</w:t>
      </w:r>
    </w:p>
    <w:p>
      <w:pPr>
        <w:ind w:firstLine="480"/>
      </w:pPr>
      <w:r>
        <w:rPr>
          <w:rFonts w:hint="eastAsia"/>
        </w:rPr>
        <w:t>业务区</w:t>
      </w:r>
      <w:r>
        <w:t>2</w:t>
      </w:r>
      <w:r>
        <w:rPr>
          <w:rFonts w:hint="eastAsia"/>
        </w:rPr>
        <w:t>主要覆盖未来学校、数字经济总部、国际公寓、数字文明社区、数字金融中心等。</w:t>
      </w:r>
    </w:p>
    <w:p>
      <w:pPr>
        <w:ind w:firstLine="480"/>
      </w:pPr>
      <w:r>
        <w:rPr>
          <w:rFonts w:hint="eastAsia"/>
        </w:rPr>
        <w:t>业务区3主要覆盖商业中心、学区社区、离岸数据生态村、康知社区、数字健康生态村等。</w:t>
      </w:r>
    </w:p>
    <w:p>
      <w:pPr>
        <w:pStyle w:val="4"/>
        <w:numPr>
          <w:ilvl w:val="2"/>
          <w:numId w:val="13"/>
        </w:numPr>
        <w:ind w:firstLineChars="0"/>
      </w:pPr>
      <w:bookmarkStart w:id="269" w:name="_Toc659180751"/>
      <w:r>
        <w:rPr>
          <w:rFonts w:hint="eastAsia"/>
        </w:rPr>
        <w:t>光缆分纤点的设置</w:t>
      </w:r>
      <w:bookmarkEnd w:id="269"/>
    </w:p>
    <w:p>
      <w:pPr>
        <w:ind w:firstLine="480"/>
      </w:pPr>
      <w:r>
        <w:t>为满足海南生态智慧新城起步区的道路景观要求</w:t>
      </w:r>
      <w:r>
        <w:rPr>
          <w:rFonts w:hint="eastAsia"/>
        </w:rPr>
        <w:t>，</w:t>
      </w:r>
      <w:r>
        <w:t>起步区内道路旁不设置室外光交接箱</w:t>
      </w:r>
      <w:r>
        <w:rPr>
          <w:rFonts w:hint="eastAsia"/>
        </w:rPr>
        <w:t>。在各地块设置光缆分纤点机房，为便于业务接入，每个地块设置的光缆分纤点机房数量不小于1-</w:t>
      </w:r>
      <w:r>
        <w:t>2个</w:t>
      </w:r>
      <w:r>
        <w:rPr>
          <w:rFonts w:hint="eastAsia"/>
        </w:rPr>
        <w:t>。</w:t>
      </w:r>
    </w:p>
    <w:p>
      <w:pPr>
        <w:ind w:firstLine="480"/>
      </w:pPr>
      <w:r>
        <w:t>本规划设置光缆分纤点机房共</w:t>
      </w:r>
      <w:r>
        <w:rPr>
          <w:rFonts w:hint="eastAsia"/>
        </w:rPr>
        <w:t>2</w:t>
      </w:r>
      <w:r>
        <w:t>0个</w:t>
      </w:r>
      <w:r>
        <w:rPr>
          <w:rFonts w:hint="eastAsia"/>
        </w:rPr>
        <w:t>，</w:t>
      </w:r>
      <w:r>
        <w:t>机房需求面积不小于</w:t>
      </w:r>
      <w:r>
        <w:rPr>
          <w:rFonts w:hint="eastAsia"/>
        </w:rPr>
        <w:t>3</w:t>
      </w:r>
      <w:r>
        <w:t>0平</w:t>
      </w:r>
      <w:r>
        <w:rPr>
          <w:rFonts w:hint="eastAsia"/>
        </w:rPr>
        <w:t>；</w:t>
      </w:r>
      <w:r>
        <w:t>各分纤点用于各地块片区的业务收敛</w:t>
      </w:r>
      <w:r>
        <w:rPr>
          <w:rFonts w:hint="eastAsia"/>
        </w:rPr>
        <w:t>，</w:t>
      </w:r>
      <w:r>
        <w:t>可用于安装末端接入层传输设备及小型OLT设备</w:t>
      </w:r>
      <w:r>
        <w:rPr>
          <w:rFonts w:hint="eastAsia"/>
        </w:rPr>
        <w:t>，</w:t>
      </w:r>
      <w:r>
        <w:t>需市电容量30KW</w:t>
      </w:r>
      <w:r>
        <w:rPr>
          <w:rFonts w:hint="eastAsia"/>
        </w:rPr>
        <w:t>/</w:t>
      </w:r>
      <w:r>
        <w:t>分纤点</w:t>
      </w:r>
      <w:r>
        <w:rPr>
          <w:rFonts w:hint="eastAsia"/>
        </w:rPr>
        <w:t>。</w:t>
      </w:r>
    </w:p>
    <w:p>
      <w:pPr>
        <w:ind w:firstLine="480"/>
      </w:pPr>
      <w:r>
        <w:drawing>
          <wp:inline distT="0" distB="0" distL="0" distR="0">
            <wp:extent cx="4218940" cy="4647565"/>
            <wp:effectExtent l="0" t="0" r="0" b="63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37"/>
                    <a:stretch>
                      <a:fillRect/>
                    </a:stretch>
                  </pic:blipFill>
                  <pic:spPr>
                    <a:xfrm>
                      <a:off x="0" y="0"/>
                      <a:ext cx="4219048" cy="4647619"/>
                    </a:xfrm>
                    <a:prstGeom prst="rect">
                      <a:avLst/>
                    </a:prstGeom>
                  </pic:spPr>
                </pic:pic>
              </a:graphicData>
            </a:graphic>
          </wp:inline>
        </w:drawing>
      </w:r>
    </w:p>
    <w:p>
      <w:pPr>
        <w:ind w:firstLine="0" w:firstLineChars="0"/>
        <w:jc w:val="center"/>
      </w:pPr>
      <w:r>
        <w:t>图</w:t>
      </w:r>
      <w:r>
        <w:rPr>
          <w:rFonts w:hint="eastAsia"/>
        </w:rPr>
        <w:t>6</w:t>
      </w:r>
      <w:r>
        <w:t xml:space="preserve">.5.2 </w:t>
      </w:r>
      <w:r>
        <w:rPr>
          <w:rFonts w:hint="eastAsia"/>
        </w:rPr>
        <w:t>光缆</w:t>
      </w:r>
      <w:r>
        <w:t>分纤点机房规划位置图</w:t>
      </w:r>
    </w:p>
    <w:p>
      <w:pPr>
        <w:ind w:firstLine="0" w:firstLineChars="0"/>
        <w:jc w:val="center"/>
      </w:pPr>
      <w:r>
        <w:rPr>
          <w:rFonts w:hint="eastAsia"/>
        </w:rPr>
        <w:t>表6</w:t>
      </w:r>
      <w:r>
        <w:t>.5</w:t>
      </w:r>
      <w:r>
        <w:rPr>
          <w:rFonts w:hint="eastAsia"/>
        </w:rPr>
        <w:t>.</w:t>
      </w:r>
      <w:r>
        <w:t xml:space="preserve">2 </w:t>
      </w:r>
      <w:r>
        <w:rPr>
          <w:rFonts w:hint="eastAsia"/>
        </w:rPr>
        <w:t>光缆</w:t>
      </w:r>
      <w:r>
        <w:t>分纤点机房</w:t>
      </w:r>
      <w:r>
        <w:rPr>
          <w:rFonts w:hint="eastAsia"/>
        </w:rPr>
        <w:t>规划</w:t>
      </w:r>
      <w:r>
        <w:t>表</w:t>
      </w:r>
    </w:p>
    <w:tbl>
      <w:tblPr>
        <w:tblStyle w:val="17"/>
        <w:tblW w:w="4175" w:type="pct"/>
        <w:tblInd w:w="0" w:type="dxa"/>
        <w:tblLayout w:type="autofit"/>
        <w:tblCellMar>
          <w:top w:w="0" w:type="dxa"/>
          <w:left w:w="108" w:type="dxa"/>
          <w:bottom w:w="0" w:type="dxa"/>
          <w:right w:w="108" w:type="dxa"/>
        </w:tblCellMar>
      </w:tblPr>
      <w:tblGrid>
        <w:gridCol w:w="635"/>
        <w:gridCol w:w="2312"/>
        <w:gridCol w:w="1683"/>
        <w:gridCol w:w="2312"/>
        <w:gridCol w:w="1580"/>
      </w:tblGrid>
      <w:tr>
        <w:tblPrEx>
          <w:tblCellMar>
            <w:top w:w="0" w:type="dxa"/>
            <w:left w:w="108" w:type="dxa"/>
            <w:bottom w:w="0" w:type="dxa"/>
            <w:right w:w="108" w:type="dxa"/>
          </w:tblCellMar>
        </w:tblPrEx>
        <w:trPr>
          <w:trHeight w:val="270" w:hRule="atLeast"/>
        </w:trPr>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序号</w:t>
            </w:r>
          </w:p>
        </w:tc>
        <w:tc>
          <w:tcPr>
            <w:tcW w:w="134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机房</w:t>
            </w:r>
          </w:p>
        </w:tc>
        <w:tc>
          <w:tcPr>
            <w:tcW w:w="98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位置</w:t>
            </w:r>
          </w:p>
        </w:tc>
        <w:tc>
          <w:tcPr>
            <w:tcW w:w="134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功能</w:t>
            </w:r>
          </w:p>
        </w:tc>
        <w:tc>
          <w:tcPr>
            <w:tcW w:w="92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面积要求</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电竞港分纤点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国际电竞港</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数字游戏港分纤点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数字游戏港</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高知社区分纤点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高知社区</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定制别墅分纤点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定制别墅区</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百度生态村分纤点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百度生态村</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智力运动分纤点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智力运动基地</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青年公寓分纤点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青年公寓</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腾讯生态村分纤点1</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腾讯生态村</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腾讯生态村分纤点2</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腾讯生态村</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数字文明社区分纤点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数字文明社区</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数字总部分纤点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数字经济总部</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国际公寓分纤点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国际公寓</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未来学校分纤点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未来学校</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数字金融中心分纤点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数字金融中心</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学区社区分纤点1</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学区社区</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学区社区分纤点2</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学区社区</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17</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商业中心分纤点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商业中心</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18</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离岸数据生态村分纤点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离岸数据生态村</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19</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康知社区分纤点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康知社区</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r>
        <w:tblPrEx>
          <w:tblCellMar>
            <w:top w:w="0" w:type="dxa"/>
            <w:left w:w="108" w:type="dxa"/>
            <w:bottom w:w="0" w:type="dxa"/>
            <w:right w:w="108" w:type="dxa"/>
          </w:tblCellMar>
        </w:tblPrEx>
        <w:trPr>
          <w:trHeight w:val="270" w:hRule="atLeast"/>
        </w:trPr>
        <w:tc>
          <w:tcPr>
            <w:tcW w:w="3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数字健康生态村分纤点</w:t>
            </w:r>
          </w:p>
        </w:tc>
        <w:tc>
          <w:tcPr>
            <w:tcW w:w="98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数字健康生态村</w:t>
            </w:r>
          </w:p>
        </w:tc>
        <w:tc>
          <w:tcPr>
            <w:tcW w:w="13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光缆分纤点、业务收敛</w:t>
            </w:r>
          </w:p>
        </w:tc>
        <w:tc>
          <w:tcPr>
            <w:tcW w:w="929" w:type="pct"/>
            <w:tcBorders>
              <w:top w:val="nil"/>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不小于3</w:t>
            </w:r>
            <w:r>
              <w:rPr>
                <w:rFonts w:ascii="宋体" w:hAnsi="宋体" w:eastAsia="宋体" w:cs="宋体"/>
                <w:color w:val="000000"/>
                <w:kern w:val="0"/>
                <w:sz w:val="21"/>
              </w:rPr>
              <w:t>0平米</w:t>
            </w:r>
          </w:p>
        </w:tc>
      </w:tr>
    </w:tbl>
    <w:p>
      <w:pPr>
        <w:pStyle w:val="4"/>
        <w:numPr>
          <w:ilvl w:val="2"/>
          <w:numId w:val="13"/>
        </w:numPr>
        <w:ind w:firstLineChars="0"/>
      </w:pPr>
      <w:bookmarkStart w:id="270" w:name="_Toc1707281024"/>
      <w:r>
        <w:t>汇聚层光缆</w:t>
      </w:r>
      <w:bookmarkEnd w:id="270"/>
    </w:p>
    <w:p>
      <w:pPr>
        <w:ind w:firstLine="480"/>
      </w:pPr>
      <w:r>
        <w:t>本期规划光缆采用</w:t>
      </w:r>
      <w:r>
        <w:rPr>
          <w:rFonts w:hint="eastAsia"/>
        </w:rPr>
        <w:t>“</w:t>
      </w:r>
      <w:r>
        <w:t>汇聚层主干光缆</w:t>
      </w:r>
      <w:r>
        <w:rPr>
          <w:rFonts w:hint="eastAsia"/>
        </w:rPr>
        <w:t>-</w:t>
      </w:r>
      <w:r>
        <w:t>接入层主干光缆环</w:t>
      </w:r>
      <w:r>
        <w:rPr>
          <w:rFonts w:hint="eastAsia"/>
        </w:rPr>
        <w:t>”</w:t>
      </w:r>
      <w:r>
        <w:t>两层结构</w:t>
      </w:r>
      <w:r>
        <w:rPr>
          <w:rFonts w:hint="eastAsia"/>
        </w:rPr>
        <w:t>，</w:t>
      </w:r>
      <w:r>
        <w:t>汇聚层主干光缆</w:t>
      </w:r>
      <w:r>
        <w:rPr>
          <w:rFonts w:hint="eastAsia"/>
        </w:rPr>
        <w:t>应</w:t>
      </w:r>
      <w:r>
        <w:t>不低于</w:t>
      </w:r>
      <w:r>
        <w:rPr>
          <w:rFonts w:hint="eastAsia"/>
        </w:rPr>
        <w:t>9</w:t>
      </w:r>
      <w:r>
        <w:t>6芯</w:t>
      </w:r>
      <w:r>
        <w:rPr>
          <w:rFonts w:hint="eastAsia"/>
        </w:rPr>
        <w:t>/</w:t>
      </w:r>
      <w:r>
        <w:t>运营商</w:t>
      </w:r>
      <w:r>
        <w:rPr>
          <w:rFonts w:hint="eastAsia"/>
        </w:rPr>
        <w:t>，</w:t>
      </w:r>
      <w:r>
        <w:t>接入层主干光缆应不低于48芯</w:t>
      </w:r>
      <w:r>
        <w:rPr>
          <w:rFonts w:hint="eastAsia"/>
        </w:rPr>
        <w:t>/</w:t>
      </w:r>
      <w:r>
        <w:t>运营商</w:t>
      </w:r>
      <w:r>
        <w:rPr>
          <w:rFonts w:hint="eastAsia"/>
        </w:rPr>
        <w:t>，</w:t>
      </w:r>
      <w:r>
        <w:t>配线光缆应不低于</w:t>
      </w:r>
      <w:r>
        <w:rPr>
          <w:rFonts w:hint="eastAsia"/>
        </w:rPr>
        <w:t>2</w:t>
      </w:r>
      <w:r>
        <w:t>4芯</w:t>
      </w:r>
      <w:r>
        <w:rPr>
          <w:rFonts w:hint="eastAsia"/>
        </w:rPr>
        <w:t>/</w:t>
      </w:r>
      <w:r>
        <w:t>运营商</w:t>
      </w:r>
      <w:r>
        <w:rPr>
          <w:rFonts w:hint="eastAsia"/>
        </w:rPr>
        <w:t>。本期规划建设汇聚光缆环1个，光缆段落1</w:t>
      </w:r>
      <w:r>
        <w:t>0条</w:t>
      </w:r>
      <w:r>
        <w:rPr>
          <w:rFonts w:hint="eastAsia"/>
        </w:rPr>
        <w:t>，新建汇聚光缆长度</w:t>
      </w:r>
      <w:r>
        <w:t>22.1公里</w:t>
      </w:r>
      <w:r>
        <w:rPr>
          <w:rFonts w:hint="eastAsia"/>
        </w:rPr>
        <w:t>。</w:t>
      </w:r>
    </w:p>
    <w:p>
      <w:pPr>
        <w:ind w:firstLine="0" w:firstLineChars="0"/>
        <w:jc w:val="center"/>
      </w:pPr>
      <w:r>
        <w:drawing>
          <wp:inline distT="0" distB="0" distL="0" distR="0">
            <wp:extent cx="4952365" cy="5151755"/>
            <wp:effectExtent l="0" t="0" r="635"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38"/>
                    <a:stretch>
                      <a:fillRect/>
                    </a:stretch>
                  </pic:blipFill>
                  <pic:spPr>
                    <a:xfrm>
                      <a:off x="0" y="0"/>
                      <a:ext cx="4952381" cy="5152381"/>
                    </a:xfrm>
                    <a:prstGeom prst="rect">
                      <a:avLst/>
                    </a:prstGeom>
                  </pic:spPr>
                </pic:pic>
              </a:graphicData>
            </a:graphic>
          </wp:inline>
        </w:drawing>
      </w:r>
    </w:p>
    <w:p>
      <w:pPr>
        <w:ind w:firstLine="0" w:firstLineChars="0"/>
        <w:jc w:val="center"/>
      </w:pPr>
      <w:r>
        <w:t>图</w:t>
      </w:r>
      <w:r>
        <w:rPr>
          <w:rFonts w:hint="eastAsia"/>
        </w:rPr>
        <w:t>6</w:t>
      </w:r>
      <w:r>
        <w:t xml:space="preserve">.5.3 </w:t>
      </w:r>
      <w:r>
        <w:rPr>
          <w:rFonts w:hint="eastAsia"/>
        </w:rPr>
        <w:t>汇聚主干光缆规划</w:t>
      </w:r>
      <w:r>
        <w:t>图</w:t>
      </w:r>
    </w:p>
    <w:p>
      <w:pPr>
        <w:ind w:firstLine="0" w:firstLineChars="0"/>
        <w:jc w:val="center"/>
      </w:pPr>
      <w:r>
        <w:rPr>
          <w:rFonts w:hint="eastAsia"/>
        </w:rPr>
        <w:t>表6</w:t>
      </w:r>
      <w:r>
        <w:t xml:space="preserve">.5.3 </w:t>
      </w:r>
      <w:r>
        <w:rPr>
          <w:rFonts w:hint="eastAsia"/>
        </w:rPr>
        <w:t>汇聚主干光缆表</w:t>
      </w:r>
    </w:p>
    <w:tbl>
      <w:tblPr>
        <w:tblStyle w:val="17"/>
        <w:tblW w:w="0" w:type="auto"/>
        <w:tblInd w:w="0" w:type="dxa"/>
        <w:tblLayout w:type="autofit"/>
        <w:tblCellMar>
          <w:top w:w="0" w:type="dxa"/>
          <w:left w:w="108" w:type="dxa"/>
          <w:bottom w:w="0" w:type="dxa"/>
          <w:right w:w="108" w:type="dxa"/>
        </w:tblCellMar>
      </w:tblPr>
      <w:tblGrid>
        <w:gridCol w:w="616"/>
        <w:gridCol w:w="1901"/>
        <w:gridCol w:w="1901"/>
        <w:gridCol w:w="1016"/>
        <w:gridCol w:w="1416"/>
        <w:gridCol w:w="1672"/>
      </w:tblGrid>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0" w:type="auto"/>
            <w:tcBorders>
              <w:top w:val="single" w:color="auto" w:sz="4" w:space="0"/>
              <w:left w:val="nil"/>
              <w:bottom w:val="single" w:color="auto" w:sz="4" w:space="0"/>
              <w:right w:val="single" w:color="auto" w:sz="4" w:space="0"/>
            </w:tcBorders>
            <w:shd w:val="clear" w:color="000000" w:fill="DDD9C4"/>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起点</w:t>
            </w:r>
          </w:p>
        </w:tc>
        <w:tc>
          <w:tcPr>
            <w:tcW w:w="0" w:type="auto"/>
            <w:tcBorders>
              <w:top w:val="single" w:color="auto" w:sz="4" w:space="0"/>
              <w:left w:val="nil"/>
              <w:bottom w:val="single" w:color="auto" w:sz="4" w:space="0"/>
              <w:right w:val="single" w:color="auto" w:sz="4" w:space="0"/>
            </w:tcBorders>
            <w:shd w:val="clear" w:color="000000" w:fill="DDD9C4"/>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终点</w:t>
            </w:r>
          </w:p>
        </w:tc>
        <w:tc>
          <w:tcPr>
            <w:tcW w:w="0" w:type="auto"/>
            <w:tcBorders>
              <w:top w:val="single" w:color="auto" w:sz="4" w:space="0"/>
              <w:left w:val="nil"/>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敷设方式</w:t>
            </w:r>
          </w:p>
        </w:tc>
        <w:tc>
          <w:tcPr>
            <w:tcW w:w="0" w:type="auto"/>
            <w:tcBorders>
              <w:top w:val="single" w:color="auto" w:sz="4" w:space="0"/>
              <w:left w:val="nil"/>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光缆层次</w:t>
            </w:r>
          </w:p>
        </w:tc>
        <w:tc>
          <w:tcPr>
            <w:tcW w:w="0" w:type="auto"/>
            <w:tcBorders>
              <w:top w:val="single" w:color="auto" w:sz="4" w:space="0"/>
              <w:left w:val="nil"/>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长度(皮长公里）</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海澄大道光交</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海澄大道光交</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海榆西线蓝梦一路光交</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3.6</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海榆西线蓝梦一路光交</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海榆西线蓝梦四路光交</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海榆西线蓝梦四路光交</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未来学校机房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未来学校机房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海榆西线蓝梦一路光交</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海榆西线蓝梦四路光交</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离岸数据中心（电信）</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离岸数据中心（电信）</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汇聚主干光缆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3.5</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合计</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22.1</w:t>
            </w:r>
          </w:p>
        </w:tc>
      </w:tr>
    </w:tbl>
    <w:p>
      <w:pPr>
        <w:pStyle w:val="4"/>
        <w:numPr>
          <w:ilvl w:val="2"/>
          <w:numId w:val="13"/>
        </w:numPr>
        <w:ind w:firstLineChars="0"/>
      </w:pPr>
      <w:bookmarkStart w:id="271" w:name="_Toc1129080453"/>
      <w:r>
        <w:rPr>
          <w:rFonts w:hint="eastAsia"/>
        </w:rPr>
        <w:t>接入层光缆</w:t>
      </w:r>
      <w:bookmarkEnd w:id="271"/>
    </w:p>
    <w:p>
      <w:pPr>
        <w:ind w:firstLine="480"/>
      </w:pPr>
      <w:r>
        <w:rPr>
          <w:rFonts w:hint="eastAsia"/>
        </w:rPr>
        <w:t>接入主干光缆依据业务区划分设置，规划期共建设接入光缆环3个。共新建光缆段落2</w:t>
      </w:r>
      <w:r>
        <w:t>3段</w:t>
      </w:r>
      <w:r>
        <w:rPr>
          <w:rFonts w:hint="eastAsia"/>
        </w:rPr>
        <w:t>，规划期内共新建接入主干光缆</w:t>
      </w:r>
      <w:r>
        <w:t>27.2</w:t>
      </w:r>
      <w:r>
        <w:rPr>
          <w:rFonts w:hint="eastAsia"/>
        </w:rPr>
        <w:t>公里。</w:t>
      </w:r>
    </w:p>
    <w:p>
      <w:pPr>
        <w:ind w:firstLine="0" w:firstLineChars="0"/>
        <w:jc w:val="center"/>
      </w:pPr>
      <w:r>
        <w:drawing>
          <wp:inline distT="0" distB="0" distL="0" distR="0">
            <wp:extent cx="4338320" cy="4975225"/>
            <wp:effectExtent l="0" t="0" r="508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39"/>
                    <a:stretch>
                      <a:fillRect/>
                    </a:stretch>
                  </pic:blipFill>
                  <pic:spPr>
                    <a:xfrm>
                      <a:off x="0" y="0"/>
                      <a:ext cx="4338514" cy="4975761"/>
                    </a:xfrm>
                    <a:prstGeom prst="rect">
                      <a:avLst/>
                    </a:prstGeom>
                  </pic:spPr>
                </pic:pic>
              </a:graphicData>
            </a:graphic>
          </wp:inline>
        </w:drawing>
      </w:r>
    </w:p>
    <w:p>
      <w:pPr>
        <w:ind w:firstLine="0" w:firstLineChars="0"/>
        <w:jc w:val="center"/>
      </w:pPr>
      <w:r>
        <w:t>图</w:t>
      </w:r>
      <w:r>
        <w:rPr>
          <w:rFonts w:hint="eastAsia"/>
        </w:rPr>
        <w:t>6</w:t>
      </w:r>
      <w:r>
        <w:t xml:space="preserve">.5.4 </w:t>
      </w:r>
      <w:r>
        <w:rPr>
          <w:rFonts w:hint="eastAsia"/>
        </w:rPr>
        <w:t>接入层主干光缆规划</w:t>
      </w:r>
      <w:r>
        <w:t>图</w:t>
      </w:r>
    </w:p>
    <w:p>
      <w:pPr>
        <w:ind w:firstLine="0" w:firstLineChars="0"/>
        <w:jc w:val="center"/>
      </w:pPr>
      <w:r>
        <w:t>表</w:t>
      </w:r>
      <w:r>
        <w:rPr>
          <w:rFonts w:hint="eastAsia"/>
        </w:rPr>
        <w:t>6</w:t>
      </w:r>
      <w:r>
        <w:t xml:space="preserve">.5.4 </w:t>
      </w:r>
      <w:r>
        <w:rPr>
          <w:rFonts w:hint="eastAsia"/>
        </w:rPr>
        <w:t>接入</w:t>
      </w:r>
      <w:r>
        <w:t>主干光缆表</w:t>
      </w:r>
    </w:p>
    <w:tbl>
      <w:tblPr>
        <w:tblStyle w:val="17"/>
        <w:tblW w:w="0" w:type="auto"/>
        <w:tblInd w:w="0" w:type="dxa"/>
        <w:tblLayout w:type="autofit"/>
        <w:tblCellMar>
          <w:top w:w="0" w:type="dxa"/>
          <w:left w:w="108" w:type="dxa"/>
          <w:bottom w:w="0" w:type="dxa"/>
          <w:right w:w="108" w:type="dxa"/>
        </w:tblCellMar>
      </w:tblPr>
      <w:tblGrid>
        <w:gridCol w:w="616"/>
        <w:gridCol w:w="1901"/>
        <w:gridCol w:w="1901"/>
        <w:gridCol w:w="1016"/>
        <w:gridCol w:w="1416"/>
        <w:gridCol w:w="1672"/>
      </w:tblGrid>
      <w:tr>
        <w:tblPrEx>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0" w:type="auto"/>
            <w:tcBorders>
              <w:top w:val="single" w:color="auto" w:sz="4" w:space="0"/>
              <w:left w:val="nil"/>
              <w:bottom w:val="single" w:color="auto" w:sz="4" w:space="0"/>
              <w:right w:val="single" w:color="auto" w:sz="4" w:space="0"/>
            </w:tcBorders>
            <w:shd w:val="clear" w:color="000000" w:fill="DDD9C4"/>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起点</w:t>
            </w:r>
          </w:p>
        </w:tc>
        <w:tc>
          <w:tcPr>
            <w:tcW w:w="0" w:type="auto"/>
            <w:tcBorders>
              <w:top w:val="single" w:color="auto" w:sz="4" w:space="0"/>
              <w:left w:val="nil"/>
              <w:bottom w:val="single" w:color="auto" w:sz="4" w:space="0"/>
              <w:right w:val="single" w:color="auto" w:sz="4" w:space="0"/>
            </w:tcBorders>
            <w:shd w:val="clear" w:color="000000" w:fill="DDD9C4"/>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终点</w:t>
            </w:r>
          </w:p>
        </w:tc>
        <w:tc>
          <w:tcPr>
            <w:tcW w:w="0" w:type="auto"/>
            <w:tcBorders>
              <w:top w:val="single" w:color="auto" w:sz="4" w:space="0"/>
              <w:left w:val="nil"/>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敷设方式</w:t>
            </w:r>
          </w:p>
        </w:tc>
        <w:tc>
          <w:tcPr>
            <w:tcW w:w="0" w:type="auto"/>
            <w:tcBorders>
              <w:top w:val="single" w:color="auto" w:sz="4" w:space="0"/>
              <w:left w:val="nil"/>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光缆层次</w:t>
            </w:r>
          </w:p>
        </w:tc>
        <w:tc>
          <w:tcPr>
            <w:tcW w:w="0" w:type="auto"/>
            <w:tcBorders>
              <w:top w:val="single" w:color="auto" w:sz="4" w:space="0"/>
              <w:left w:val="nil"/>
              <w:bottom w:val="single" w:color="auto" w:sz="4" w:space="0"/>
              <w:right w:val="single" w:color="auto" w:sz="4" w:space="0"/>
            </w:tcBorders>
            <w:shd w:val="clear" w:color="000000" w:fill="DDD9C4"/>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长度(皮长公里）</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高知社区分纤点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高知社区分纤点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智力运动分纤点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智力运动分纤点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百度生态村分纤点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百度生态村分纤点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腾讯生态村分纤点1</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0.7</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腾讯生态村分纤点1</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0.4</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电竞港机房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游戏数码港分纤点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0.6</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高知社区分纤点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定制别墅分纤点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腾讯生态村分纤点2</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0.5</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数字金融中心分纤点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数字金融中心分纤点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未来学校机房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未来学校机房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文明社区分纤点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文明社区分纤点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数字总部分纤点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数字总部分纤点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腾讯生态村机房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0.9</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数字总部分纤点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国际公寓分纤点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0.5</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未来学校机房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3.7</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0.6</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数字健康生态村机房</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离岸数据生态村分纤点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离岸数据生态村分纤点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商业中心分纤点</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商业中心分纤点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学区社区分纤点1</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学区社区分纤点1</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学区社区分纤点2</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0.8</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康知社区分纤点</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数字健康生态村机房</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管道</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接入主干光缆</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0.8</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合计</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0" w:type="auto"/>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27.2</w:t>
            </w:r>
          </w:p>
        </w:tc>
      </w:tr>
    </w:tbl>
    <w:p>
      <w:pPr>
        <w:pStyle w:val="2"/>
        <w:numPr>
          <w:ilvl w:val="0"/>
          <w:numId w:val="3"/>
        </w:numPr>
        <w:spacing w:before="326" w:after="326"/>
        <w:ind w:firstLineChars="0"/>
      </w:pPr>
      <w:bookmarkStart w:id="272" w:name="_Toc1301460819"/>
      <w:r>
        <w:t>其他规划要求</w:t>
      </w:r>
      <w:bookmarkEnd w:id="272"/>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273" w:name="_Toc22076742"/>
      <w:bookmarkEnd w:id="273"/>
    </w:p>
    <w:p>
      <w:pPr>
        <w:pStyle w:val="3"/>
        <w:numPr>
          <w:ilvl w:val="1"/>
          <w:numId w:val="4"/>
        </w:numPr>
        <w:spacing w:before="156" w:after="163"/>
      </w:pPr>
      <w:bookmarkStart w:id="274" w:name="_Toc1211187360"/>
      <w:r>
        <w:t>基站建设与环境融合相关要求</w:t>
      </w:r>
      <w:bookmarkEnd w:id="274"/>
    </w:p>
    <w:p>
      <w:pPr>
        <w:ind w:firstLine="480"/>
      </w:pPr>
      <w:r>
        <w:rPr>
          <w:rFonts w:hint="eastAsia"/>
        </w:rPr>
        <w:t>根据海南生态智慧新城起步区的城市设计要求，常规的铁塔建设必然与周边环境不协调，必须将通信基础设施美化设计。美化塔的形式改善不但不破坏城市的基本景观，还可以将业务天线或一些设备隐藏，避免了城市建设的“视觉冲击反感”，又大大的提高了城市信息化建设的综合能力。</w:t>
      </w:r>
    </w:p>
    <w:p>
      <w:pPr>
        <w:ind w:firstLine="480"/>
      </w:pPr>
      <w:r>
        <w:rPr>
          <w:rFonts w:hint="eastAsia"/>
        </w:rPr>
        <w:t>美化通信塔主要包括美化天线、灯杆景观塔和仿生树等类型。</w:t>
      </w:r>
    </w:p>
    <w:p>
      <w:pPr>
        <w:ind w:firstLine="480"/>
      </w:pPr>
      <w:r>
        <w:t>本规划对基站美化要求如下</w:t>
      </w:r>
      <w:r>
        <w:rPr>
          <w:rFonts w:hint="eastAsia"/>
        </w:rPr>
        <w:t>：</w:t>
      </w:r>
    </w:p>
    <w:p>
      <w:pPr>
        <w:pStyle w:val="25"/>
        <w:numPr>
          <w:ilvl w:val="0"/>
          <w:numId w:val="14"/>
        </w:numPr>
        <w:ind w:left="0" w:firstLine="480"/>
      </w:pPr>
      <w:r>
        <w:rPr>
          <w:rFonts w:hint="eastAsia"/>
        </w:rPr>
        <w:t>新建楼面站点全部采用美化天线，美化天线可以采用方柱形、圆柱形；美化天线颜色需要建筑颜色相一致</w:t>
      </w:r>
    </w:p>
    <w:p>
      <w:pPr>
        <w:pStyle w:val="25"/>
        <w:numPr>
          <w:ilvl w:val="0"/>
          <w:numId w:val="14"/>
        </w:numPr>
        <w:ind w:left="0" w:firstLine="480"/>
      </w:pPr>
      <w:r>
        <w:t>新建地面站均采用美化灯杆景观塔</w:t>
      </w:r>
      <w:r>
        <w:rPr>
          <w:rFonts w:hint="eastAsia"/>
        </w:rPr>
        <w:t>，</w:t>
      </w:r>
      <w:r>
        <w:t>景观塔颜色采用乳白色</w:t>
      </w:r>
      <w:r>
        <w:rPr>
          <w:rFonts w:hint="eastAsia"/>
        </w:rPr>
        <w:t>。</w:t>
      </w:r>
    </w:p>
    <w:p>
      <w:pPr>
        <w:pStyle w:val="25"/>
        <w:numPr>
          <w:ilvl w:val="0"/>
          <w:numId w:val="14"/>
        </w:numPr>
        <w:ind w:left="0" w:firstLine="480"/>
      </w:pPr>
      <w:r>
        <w:t>在森林公园等特殊场景可采用仿生树等塔型</w:t>
      </w:r>
      <w:r>
        <w:rPr>
          <w:rFonts w:hint="eastAsia"/>
        </w:rPr>
        <w:t>。</w:t>
      </w:r>
    </w:p>
    <w:p>
      <w:pPr>
        <w:pStyle w:val="3"/>
        <w:numPr>
          <w:ilvl w:val="1"/>
          <w:numId w:val="4"/>
        </w:numPr>
        <w:spacing w:before="156" w:after="163"/>
      </w:pPr>
      <w:bookmarkStart w:id="275" w:name="_Toc389307625"/>
      <w:r>
        <w:rPr>
          <w:rFonts w:hint="eastAsia"/>
        </w:rPr>
        <w:t>共建共享规划</w:t>
      </w:r>
      <w:bookmarkEnd w:id="275"/>
    </w:p>
    <w:p>
      <w:pPr>
        <w:ind w:firstLine="480"/>
        <w:rPr>
          <w:szCs w:val="24"/>
        </w:rPr>
      </w:pPr>
      <w:r>
        <w:rPr>
          <w:rFonts w:hint="eastAsia"/>
        </w:rPr>
        <w:t>为深入贯彻落实科学发展观，建设资源节约型、环境友好型社会，节约土地、能源，减少电信重复建设，提高电信基础设施利用率，根据《中华人民共和国电信条例》、《海南省电信基础设施建设与保护条例》（2017年修订）、工业和信息化部、国务院国有资产监督管理委员会《关于推进电信基础设施共建共享的紧急通知))(工信部联通(2008)235号)等政策和文件的要求，充分发挥铁塔公司在基础设施建设领域的重要作用，实现新建通信基础设施全部共建共享，存量基础设施共建共享水平不断提升</w:t>
      </w:r>
      <w:r>
        <w:rPr>
          <w:rFonts w:hint="eastAsia"/>
          <w:szCs w:val="24"/>
        </w:rPr>
        <w:t>。</w:t>
      </w:r>
    </w:p>
    <w:p>
      <w:pPr>
        <w:ind w:firstLine="480"/>
        <w:rPr>
          <w:szCs w:val="24"/>
        </w:rPr>
      </w:pPr>
      <w:r>
        <w:rPr>
          <w:rFonts w:hint="eastAsia"/>
          <w:szCs w:val="24"/>
        </w:rPr>
        <w:t>按照“企业自律、政府监管，突出重点、以点带面，安全可靠、合理负担，有利竞争、促进发展”和“存量共享、增量共建”的原则，通过全行业共同努力，实现以下目标：杜绝同地点新建铁塔、同路由新建杆路及管道现象；实现新增铁塔(含美化塔)、杆路、基站、传输线路、管道、室内分布等电信基础资源的共建，实现已有通信铁塔、基站、杆路、管道、传输线路、室内分布等电信基础资源的共享。</w:t>
      </w:r>
    </w:p>
    <w:p>
      <w:pPr>
        <w:ind w:firstLine="480"/>
        <w:rPr>
          <w:szCs w:val="24"/>
        </w:rPr>
      </w:pPr>
      <w:r>
        <w:rPr>
          <w:rFonts w:hint="eastAsia"/>
          <w:szCs w:val="24"/>
        </w:rPr>
        <w:t>加强通信行业与综合执法、气象、环保、公安、广电等部门合作，实现公共资源开放共享和加强基站铁塔美化工作。在确保安全的前提下，在规划中积极探索和推进“一沟共用”、“一杆多用”、“一塔多用”共建设模式。通过科学规划、合理布局、因地适宜、有序推进基站铁塔、通信廊道、数据中心等基础设施规划建设，充分发挥政府顶层设计、统筹引领的作用，进一步提升资源集约高效利用。</w:t>
      </w:r>
    </w:p>
    <w:p>
      <w:pPr>
        <w:ind w:firstLine="480"/>
        <w:rPr>
          <w:szCs w:val="24"/>
        </w:rPr>
      </w:pPr>
      <w:r>
        <w:rPr>
          <w:rFonts w:hint="eastAsia"/>
          <w:szCs w:val="24"/>
        </w:rPr>
        <w:t>移动通信基站铁塔建设要共建共享，发挥集约效益。对于开放的公共资源，铁塔公司等企业要加强统筹，并整合自有资源，根据基础电信运营企业宏站、微站及室分建设和其他行业单位的需求，开展共建共享。通过开放合作，实现资源统一利用，促进“通信塔”与“社会塔”的相互转变。</w:t>
      </w:r>
    </w:p>
    <w:p>
      <w:pPr>
        <w:ind w:firstLine="480"/>
        <w:rPr>
          <w:szCs w:val="24"/>
        </w:rPr>
      </w:pPr>
      <w:r>
        <w:rPr>
          <w:rFonts w:hint="eastAsia"/>
          <w:szCs w:val="24"/>
        </w:rPr>
        <w:t>本次规划内所有基站、机房、管线、交接箱均采用基础通信运营商共建共享方式，通过合理规划、统一建设，实现通信基础设施的共建共享，降低工程造价，减少工程协调成本，提高投资效率。</w:t>
      </w:r>
    </w:p>
    <w:p>
      <w:pPr>
        <w:pStyle w:val="3"/>
        <w:numPr>
          <w:ilvl w:val="1"/>
          <w:numId w:val="4"/>
        </w:numPr>
        <w:spacing w:before="156" w:after="163"/>
      </w:pPr>
      <w:bookmarkStart w:id="276" w:name="_Toc1830600132"/>
      <w:r>
        <w:rPr>
          <w:rFonts w:hint="eastAsia"/>
        </w:rPr>
        <w:t>生态环境保护</w:t>
      </w:r>
      <w:bookmarkEnd w:id="276"/>
    </w:p>
    <w:p>
      <w:pPr>
        <w:ind w:firstLine="480"/>
        <w:rPr>
          <w:szCs w:val="24"/>
        </w:rPr>
      </w:pPr>
      <w:r>
        <w:rPr>
          <w:rFonts w:hint="eastAsia"/>
          <w:szCs w:val="24"/>
        </w:rPr>
        <w:t>城市通信基础设施建设规划中新建通信局所、移动通信基站及通信管道等基础设施应符合《通信工程建设环境保护技术暂行规定》(YD5039-2009)中生态环境保护相关要求。</w:t>
      </w:r>
    </w:p>
    <w:p>
      <w:pPr>
        <w:ind w:firstLine="480"/>
        <w:rPr>
          <w:szCs w:val="24"/>
        </w:rPr>
      </w:pPr>
      <w:r>
        <w:rPr>
          <w:rFonts w:hint="eastAsia"/>
          <w:szCs w:val="24"/>
        </w:rPr>
        <w:t>（1）通信局(站)选址和通信线路路由选取应尽量减少占用耕地、林地和草地。</w:t>
      </w:r>
    </w:p>
    <w:p>
      <w:pPr>
        <w:ind w:firstLine="480"/>
        <w:rPr>
          <w:szCs w:val="24"/>
        </w:rPr>
      </w:pPr>
      <w:r>
        <w:rPr>
          <w:rFonts w:hint="eastAsia"/>
          <w:szCs w:val="24"/>
        </w:rPr>
        <w:t>（2）选择通信线路路由时，应尽量减少对沙化土地、水土流失地区、饮用水源保护区和其他生态敏感与脆弱区的影响。</w:t>
      </w:r>
    </w:p>
    <w:p>
      <w:pPr>
        <w:ind w:firstLine="480"/>
        <w:rPr>
          <w:szCs w:val="24"/>
        </w:rPr>
      </w:pPr>
      <w:r>
        <w:rPr>
          <w:rFonts w:hint="eastAsia"/>
          <w:szCs w:val="24"/>
        </w:rPr>
        <w:t>（3）通信线路建设中应注意保护沿线植被，尽量减少林木砍伐和对天然植被的破坏。在地表植被难以自然恢复的生态脆弱区，施工前应将作业面的自然植被与表土层一起整块移走，并妥善养护，施工后再移回原处。</w:t>
      </w:r>
    </w:p>
    <w:p>
      <w:pPr>
        <w:ind w:firstLine="480"/>
        <w:rPr>
          <w:szCs w:val="24"/>
        </w:rPr>
      </w:pPr>
      <w:r>
        <w:rPr>
          <w:rFonts w:hint="eastAsia"/>
          <w:szCs w:val="24"/>
        </w:rPr>
        <w:t>（4）严禁在崩塌滑坡危险区、泥石流易发区和易导致自然景观破坏的区域采石、采砂、取土。</w:t>
      </w:r>
    </w:p>
    <w:p>
      <w:pPr>
        <w:ind w:firstLine="480"/>
        <w:rPr>
          <w:szCs w:val="24"/>
        </w:rPr>
      </w:pPr>
      <w:r>
        <w:rPr>
          <w:rFonts w:hint="eastAsia"/>
          <w:szCs w:val="24"/>
        </w:rPr>
        <w:t>（5）工程建设中废弃的沙、石、土必须运至规定的专门存放地堆敢，不得向江河、湖泊、水库和专门存尬地以外的沟渠倾倒；工程竣工后，取土场、开挖面和废弃的砂、石、土存放地的裸露土地，应植树种草，防止水土流失。</w:t>
      </w:r>
    </w:p>
    <w:p>
      <w:pPr>
        <w:ind w:firstLine="480"/>
        <w:rPr>
          <w:szCs w:val="24"/>
        </w:rPr>
      </w:pPr>
      <w:r>
        <w:rPr>
          <w:rFonts w:hint="eastAsia"/>
          <w:szCs w:val="24"/>
        </w:rPr>
        <w:t>（6）在山区、丘陵区、风沙区敷设的埋地管道、缆线，应根据实际情况采取有效的水土保持措施，以防止水土流失。</w:t>
      </w:r>
    </w:p>
    <w:p>
      <w:pPr>
        <w:ind w:firstLine="480"/>
        <w:rPr>
          <w:szCs w:val="24"/>
        </w:rPr>
      </w:pPr>
      <w:r>
        <w:rPr>
          <w:rFonts w:hint="eastAsia"/>
          <w:szCs w:val="24"/>
        </w:rPr>
        <w:t>（7）通信设施不得危害国家和地方保护动物的栖息、繁衍；在建设期也应采取措施减少对相关野生动物的影响。</w:t>
      </w:r>
    </w:p>
    <w:p>
      <w:pPr>
        <w:ind w:firstLine="480"/>
        <w:rPr>
          <w:szCs w:val="24"/>
        </w:rPr>
      </w:pPr>
      <w:r>
        <w:rPr>
          <w:rFonts w:hint="eastAsia"/>
          <w:szCs w:val="24"/>
        </w:rPr>
        <w:t>（8）通信工程建设中不得砍伐或危喜国家重点保拼的野生植物。未经主管部门批准，严禁砍伐名胜古迹和革命纪念地的林木。</w:t>
      </w:r>
    </w:p>
    <w:p>
      <w:pPr>
        <w:ind w:firstLine="480"/>
        <w:rPr>
          <w:szCs w:val="24"/>
        </w:rPr>
      </w:pPr>
      <w:r>
        <w:rPr>
          <w:rFonts w:hint="eastAsia"/>
          <w:szCs w:val="24"/>
        </w:rPr>
        <w:t>（9）在工程建设中发现地下文物，应立即报告当地文化行政管理部门。</w:t>
      </w:r>
    </w:p>
    <w:p>
      <w:pPr>
        <w:ind w:firstLine="480"/>
        <w:rPr>
          <w:szCs w:val="24"/>
        </w:rPr>
      </w:pPr>
      <w:r>
        <w:rPr>
          <w:rFonts w:hint="eastAsia"/>
          <w:szCs w:val="24"/>
        </w:rPr>
        <w:t>（10）在文物保护单位的保护范围内不得进行与保护文物无关的建设工程。如有特殊需要，必须经原公布(文物保护单位)的人民政府和上一级文化行政管理部门同意。</w:t>
      </w:r>
    </w:p>
    <w:p>
      <w:pPr>
        <w:ind w:firstLine="480"/>
        <w:rPr>
          <w:szCs w:val="24"/>
        </w:rPr>
      </w:pPr>
      <w:r>
        <w:rPr>
          <w:rFonts w:hint="eastAsia"/>
          <w:szCs w:val="24"/>
        </w:rPr>
        <w:t>（11）在文物保护单位周围的建设控制地带内的建设工程，不得破坏文物保护单位的环境风貌。其设计方案应征得文化行政管理部门同意。</w:t>
      </w:r>
    </w:p>
    <w:p>
      <w:pPr>
        <w:ind w:firstLine="480"/>
        <w:rPr>
          <w:szCs w:val="24"/>
        </w:rPr>
      </w:pPr>
      <w:r>
        <w:rPr>
          <w:rFonts w:hint="eastAsia"/>
          <w:szCs w:val="24"/>
        </w:rPr>
        <w:t>（12）在风景区、景区公路旁、繁华市区以及主要交通干道两侧兴建的通信设施，应在形态、线形、色彩等要素上与环境相协调，不得严重影响景观。</w:t>
      </w:r>
    </w:p>
    <w:p>
      <w:pPr>
        <w:ind w:firstLine="480"/>
        <w:rPr>
          <w:szCs w:val="24"/>
        </w:rPr>
      </w:pPr>
      <w:r>
        <w:rPr>
          <w:rFonts w:hint="eastAsia"/>
          <w:szCs w:val="24"/>
        </w:rPr>
        <w:t>（13）通信工程中严禁使用持久性有机污染物做杀虫剂。</w:t>
      </w:r>
    </w:p>
    <w:p>
      <w:pPr>
        <w:ind w:firstLine="480"/>
        <w:rPr>
          <w:szCs w:val="24"/>
        </w:rPr>
      </w:pPr>
      <w:r>
        <w:rPr>
          <w:rFonts w:hint="eastAsia"/>
          <w:szCs w:val="24"/>
        </w:rPr>
        <w:t>（14）在饮用水源保护区、江河湖泊沿岸及野生动物保护区不得使用化学杀虫剂。</w:t>
      </w:r>
    </w:p>
    <w:p>
      <w:pPr>
        <w:ind w:firstLine="480"/>
        <w:rPr>
          <w:szCs w:val="24"/>
        </w:rPr>
      </w:pPr>
      <w:r>
        <w:rPr>
          <w:rFonts w:hint="eastAsia"/>
          <w:szCs w:val="24"/>
        </w:rPr>
        <w:t>（15）在项目施工期，为施工人员搭建的临时生活设施宜避免占用耕地，产生的生活污水和生活垃圾不得随意排放或丢弃，应按环保部门要求妥善处置。</w:t>
      </w:r>
    </w:p>
    <w:p>
      <w:pPr>
        <w:ind w:firstLine="480"/>
        <w:rPr>
          <w:szCs w:val="24"/>
        </w:rPr>
      </w:pPr>
      <w:r>
        <w:rPr>
          <w:rFonts w:hint="eastAsia"/>
          <w:szCs w:val="24"/>
        </w:rPr>
        <w:t>（16）建设跨河、穿河、穿堤的管道、缆线等工程设施，应符合防洪标准、岸线规划、航运要求，不得危害堤防安全，影响河势稳定、妨碍行洪畅通；工程建设方案应经有关水行政主管部门审查同意。</w:t>
      </w:r>
    </w:p>
    <w:p>
      <w:pPr>
        <w:ind w:firstLine="480"/>
        <w:rPr>
          <w:szCs w:val="24"/>
        </w:rPr>
      </w:pPr>
      <w:r>
        <w:rPr>
          <w:rFonts w:hint="eastAsia"/>
          <w:szCs w:val="24"/>
        </w:rPr>
        <w:t>（17）在蓄滞洪区内建设的电信设施和管道，建设单位应制定相应的防洪避洪方案，在蓄滞洪区内建造的房屋应采用平顶式结构。建设项目投入使用时，防洪工程设施应当经水行政主管部门验收。</w:t>
      </w:r>
    </w:p>
    <w:p>
      <w:pPr>
        <w:ind w:firstLine="480"/>
        <w:rPr>
          <w:szCs w:val="24"/>
        </w:rPr>
      </w:pPr>
      <w:r>
        <w:rPr>
          <w:rFonts w:hint="eastAsia"/>
          <w:szCs w:val="24"/>
        </w:rPr>
        <w:t>（18）建设施工中，应采用喷水、覆盖等有效措施控制扬尘；并防止临时堆放的土方、砂石被雨水冲走，造成水土流失破坏环境。</w:t>
      </w:r>
    </w:p>
    <w:p>
      <w:pPr>
        <w:ind w:firstLine="480"/>
        <w:rPr>
          <w:szCs w:val="24"/>
        </w:rPr>
      </w:pPr>
      <w:r>
        <w:rPr>
          <w:rFonts w:hint="eastAsia"/>
          <w:szCs w:val="24"/>
        </w:rPr>
        <w:t>（19）敷设海底缆线时，应注意保护红树林、珊瑚礁、滨海湿地、海岛、海湾、入海河口、重要渔业水域等海洋生态系统，以及珍稀、濒危海洋生物、海洋自然历史遗迹和自然景观。</w:t>
      </w:r>
    </w:p>
    <w:p>
      <w:pPr>
        <w:ind w:firstLine="480"/>
        <w:rPr>
          <w:szCs w:val="24"/>
        </w:rPr>
      </w:pPr>
      <w:r>
        <w:rPr>
          <w:rFonts w:hint="eastAsia"/>
          <w:szCs w:val="24"/>
        </w:rPr>
        <w:t>（20）通信局（站）使用的柴油发电机、油汽轮机的废气排放应符合环保要求。</w:t>
      </w:r>
    </w:p>
    <w:p>
      <w:pPr>
        <w:ind w:firstLine="480"/>
        <w:rPr>
          <w:szCs w:val="24"/>
        </w:rPr>
      </w:pPr>
      <w:r>
        <w:rPr>
          <w:rFonts w:hint="eastAsia"/>
          <w:szCs w:val="24"/>
        </w:rPr>
        <w:t>（21）通信工程建设中应优先采用环保的施工工艺和材料，不得使用不符合环保标准的工艺、材料。</w:t>
      </w:r>
    </w:p>
    <w:p>
      <w:pPr>
        <w:ind w:firstLine="480"/>
        <w:rPr>
          <w:szCs w:val="24"/>
        </w:rPr>
      </w:pPr>
      <w:r>
        <w:rPr>
          <w:rFonts w:hint="eastAsia"/>
          <w:szCs w:val="24"/>
        </w:rPr>
        <w:t>（22）通信设备的清洗，应使用对人体无毒无害溶剂，且不得含有全氯氟烃、全溴氟烃、四氯化碳等消耗臭氧层的物质（ODS)。</w:t>
      </w:r>
    </w:p>
    <w:p>
      <w:pPr>
        <w:pStyle w:val="3"/>
        <w:numPr>
          <w:ilvl w:val="1"/>
          <w:numId w:val="4"/>
        </w:numPr>
        <w:spacing w:before="156" w:after="163"/>
      </w:pPr>
      <w:bookmarkStart w:id="277" w:name="_Toc2072496548"/>
      <w:r>
        <w:t>节能减排</w:t>
      </w:r>
      <w:bookmarkEnd w:id="277"/>
    </w:p>
    <w:p>
      <w:pPr>
        <w:ind w:firstLine="480"/>
        <w:rPr>
          <w:szCs w:val="24"/>
        </w:rPr>
      </w:pPr>
      <w:r>
        <w:rPr>
          <w:rFonts w:hint="eastAsia"/>
          <w:szCs w:val="24"/>
        </w:rPr>
        <w:t>根据《国务院关于印发节能减排综合性工作方案的通知》（国发[2007]15号）和《关于加强中央企业节能减排工作的意见》、《中央企业任期节能管理目标》（国资考核发[2007]194号）文件精神，进一步促进节能减排工作。</w:t>
      </w:r>
    </w:p>
    <w:p>
      <w:pPr>
        <w:ind w:firstLine="480"/>
        <w:rPr>
          <w:szCs w:val="24"/>
        </w:rPr>
      </w:pPr>
      <w:r>
        <w:rPr>
          <w:rFonts w:hint="eastAsia"/>
          <w:szCs w:val="24"/>
        </w:rPr>
        <w:t>相对于基站设备自身的节能，基站配套节能由于相对投资较低，收益较快，安全系数较高等特点，适合广泛推广使用。空调、电源系统节能减排措施建议，采用智能通风、电池恒温柜等技术。针对相应基站配套材料的选取，建议在机房等建设和改造中优先采用相应新型材料，以达到节能目的。另外在机房布局时考虑增加节能设备的可能性，为后期节能改造留有余地。</w:t>
      </w:r>
    </w:p>
    <w:p>
      <w:pPr>
        <w:ind w:firstLine="480"/>
        <w:rPr>
          <w:szCs w:val="24"/>
        </w:rPr>
      </w:pPr>
      <w:r>
        <w:rPr>
          <w:rFonts w:hint="eastAsia"/>
          <w:szCs w:val="24"/>
        </w:rPr>
        <w:t>对新增资产应从源头着手采取节能减排措施。明确规定配套设备能耗标准和节能功能要求，对于不能满足能耗指标要求的设备限制入围。对存量资产，应结合本市情况进一步加大节能改造力度，在规划期内重点推广节能效果好、投资回收快的节能技术，提高成熟节能技术覆盖率。</w:t>
      </w:r>
    </w:p>
    <w:p>
      <w:pPr>
        <w:ind w:firstLine="480"/>
        <w:rPr>
          <w:szCs w:val="24"/>
        </w:rPr>
      </w:pPr>
      <w:r>
        <w:rPr>
          <w:rFonts w:hint="eastAsia"/>
          <w:szCs w:val="24"/>
        </w:rPr>
        <w:t>此外，对于不受气候、地域因素影响或影响较小的节能技术，例如开关电源休眠、高效电源模块、机房气流组织优化等技术，应重点推广并提高技术覆盖率。</w:t>
      </w:r>
    </w:p>
    <w:p>
      <w:pPr>
        <w:pStyle w:val="2"/>
        <w:numPr>
          <w:ilvl w:val="0"/>
          <w:numId w:val="3"/>
        </w:numPr>
        <w:spacing w:before="326" w:after="326"/>
        <w:ind w:firstLineChars="0"/>
      </w:pPr>
      <w:bookmarkStart w:id="278" w:name="_Toc1597889559"/>
      <w:r>
        <w:rPr>
          <w:rFonts w:hint="eastAsia"/>
        </w:rPr>
        <w:t>规划规模汇总</w:t>
      </w:r>
      <w:bookmarkEnd w:id="278"/>
    </w:p>
    <w:p>
      <w:pPr>
        <w:pStyle w:val="25"/>
        <w:keepNext/>
        <w:keepLines/>
        <w:numPr>
          <w:ilvl w:val="0"/>
          <w:numId w:val="4"/>
        </w:numPr>
        <w:spacing w:before="156" w:after="163" w:afterLines="50"/>
        <w:ind w:firstLineChars="0"/>
        <w:outlineLvl w:val="1"/>
        <w:rPr>
          <w:rFonts w:eastAsia="黑体" w:asciiTheme="majorHAnsi" w:hAnsiTheme="majorHAnsi" w:cstheme="majorBidi"/>
          <w:bCs/>
          <w:vanish/>
          <w:sz w:val="30"/>
          <w:szCs w:val="32"/>
        </w:rPr>
      </w:pPr>
      <w:bookmarkStart w:id="279" w:name="_Toc16196480"/>
      <w:bookmarkEnd w:id="279"/>
      <w:bookmarkStart w:id="280" w:name="_Toc16196572"/>
      <w:bookmarkEnd w:id="280"/>
      <w:bookmarkStart w:id="281" w:name="_Toc16196388"/>
      <w:bookmarkEnd w:id="281"/>
      <w:bookmarkStart w:id="282" w:name="_Toc22076748"/>
      <w:bookmarkEnd w:id="282"/>
      <w:bookmarkStart w:id="283" w:name="_Toc18422628"/>
      <w:bookmarkEnd w:id="283"/>
    </w:p>
    <w:p>
      <w:pPr>
        <w:ind w:firstLine="480"/>
      </w:pPr>
      <w:r>
        <w:t>本期规划预计总投资</w:t>
      </w:r>
      <w:r>
        <w:rPr>
          <w:rFonts w:ascii="宋体" w:hAnsi="宋体" w:eastAsia="宋体" w:cs="宋体"/>
          <w:color w:val="000000"/>
          <w:kern w:val="0"/>
          <w:sz w:val="22"/>
        </w:rPr>
        <w:t>95942.57</w:t>
      </w:r>
      <w:r>
        <w:t>万元</w:t>
      </w:r>
      <w:r>
        <w:rPr>
          <w:rFonts w:hint="eastAsia"/>
        </w:rPr>
        <w:t>。</w:t>
      </w:r>
    </w:p>
    <w:tbl>
      <w:tblPr>
        <w:tblStyle w:val="17"/>
        <w:tblW w:w="5000" w:type="pct"/>
        <w:tblInd w:w="0" w:type="dxa"/>
        <w:tblLayout w:type="fixed"/>
        <w:tblCellMar>
          <w:top w:w="0" w:type="dxa"/>
          <w:left w:w="108" w:type="dxa"/>
          <w:bottom w:w="0" w:type="dxa"/>
          <w:right w:w="108" w:type="dxa"/>
        </w:tblCellMar>
      </w:tblPr>
      <w:tblGrid>
        <w:gridCol w:w="1352"/>
        <w:gridCol w:w="4760"/>
        <w:gridCol w:w="1251"/>
        <w:gridCol w:w="1159"/>
      </w:tblGrid>
      <w:tr>
        <w:tblPrEx>
          <w:tblCellMar>
            <w:top w:w="0" w:type="dxa"/>
            <w:left w:w="108" w:type="dxa"/>
            <w:bottom w:w="0" w:type="dxa"/>
            <w:right w:w="108" w:type="dxa"/>
          </w:tblCellMar>
        </w:tblPrEx>
        <w:trPr>
          <w:trHeight w:val="567" w:hRule="atLeast"/>
        </w:trPr>
        <w:tc>
          <w:tcPr>
            <w:tcW w:w="7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费用类型</w:t>
            </w:r>
          </w:p>
        </w:tc>
        <w:tc>
          <w:tcPr>
            <w:tcW w:w="279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建设内容</w:t>
            </w:r>
          </w:p>
        </w:tc>
        <w:tc>
          <w:tcPr>
            <w:tcW w:w="73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总投资（万元）</w:t>
            </w:r>
          </w:p>
        </w:tc>
        <w:tc>
          <w:tcPr>
            <w:tcW w:w="68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tblPrEx>
          <w:tblCellMar>
            <w:top w:w="0" w:type="dxa"/>
            <w:left w:w="108" w:type="dxa"/>
            <w:bottom w:w="0" w:type="dxa"/>
            <w:right w:w="108" w:type="dxa"/>
          </w:tblCellMar>
        </w:tblPrEx>
        <w:trPr>
          <w:trHeight w:val="567" w:hRule="atLeast"/>
        </w:trPr>
        <w:tc>
          <w:tcPr>
            <w:tcW w:w="7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无线基站</w:t>
            </w:r>
          </w:p>
        </w:tc>
        <w:tc>
          <w:tcPr>
            <w:tcW w:w="279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both"/>
              <w:rPr>
                <w:rFonts w:ascii="宋体" w:hAnsi="宋体" w:eastAsia="宋体" w:cs="宋体"/>
                <w:color w:val="000000"/>
                <w:kern w:val="0"/>
                <w:sz w:val="22"/>
              </w:rPr>
            </w:pPr>
            <w:r>
              <w:rPr>
                <w:rFonts w:hint="eastAsia" w:ascii="宋体" w:hAnsi="宋体" w:eastAsia="宋体" w:cs="宋体"/>
                <w:color w:val="000000"/>
                <w:kern w:val="0"/>
                <w:sz w:val="22"/>
              </w:rPr>
              <w:t>本期规划站点</w:t>
            </w:r>
            <w:r>
              <w:rPr>
                <w:rFonts w:ascii="宋体" w:hAnsi="宋体" w:eastAsia="宋体" w:cs="宋体"/>
                <w:color w:val="000000"/>
                <w:kern w:val="0"/>
                <w:sz w:val="22"/>
              </w:rPr>
              <w:t>64</w:t>
            </w:r>
            <w:r>
              <w:rPr>
                <w:rFonts w:hint="eastAsia" w:ascii="宋体" w:hAnsi="宋体" w:eastAsia="宋体" w:cs="宋体"/>
                <w:color w:val="000000"/>
                <w:kern w:val="0"/>
                <w:sz w:val="22"/>
              </w:rPr>
              <w:t>座，新建小微站7</w:t>
            </w:r>
            <w:r>
              <w:rPr>
                <w:rFonts w:ascii="宋体" w:hAnsi="宋体" w:eastAsia="宋体" w:cs="宋体"/>
                <w:color w:val="000000"/>
                <w:kern w:val="0"/>
                <w:sz w:val="22"/>
              </w:rPr>
              <w:t>7个</w:t>
            </w:r>
            <w:r>
              <w:rPr>
                <w:rFonts w:hint="eastAsia" w:ascii="宋体" w:hAnsi="宋体" w:eastAsia="宋体" w:cs="宋体"/>
                <w:color w:val="000000"/>
                <w:kern w:val="0"/>
                <w:sz w:val="22"/>
              </w:rPr>
              <w:t>。</w:t>
            </w:r>
            <w:r>
              <w:rPr>
                <w:rFonts w:ascii="宋体" w:hAnsi="宋体" w:eastAsia="宋体" w:cs="宋体"/>
                <w:color w:val="000000"/>
                <w:kern w:val="0"/>
                <w:sz w:val="22"/>
              </w:rPr>
              <w:t xml:space="preserve"> </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2690</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567" w:hRule="atLeast"/>
        </w:trPr>
        <w:tc>
          <w:tcPr>
            <w:tcW w:w="7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室内覆盖</w:t>
            </w:r>
          </w:p>
        </w:tc>
        <w:tc>
          <w:tcPr>
            <w:tcW w:w="279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both"/>
              <w:rPr>
                <w:rFonts w:ascii="宋体" w:hAnsi="宋体" w:eastAsia="宋体" w:cs="宋体"/>
                <w:color w:val="000000"/>
                <w:kern w:val="0"/>
                <w:sz w:val="22"/>
              </w:rPr>
            </w:pPr>
            <w:r>
              <w:rPr>
                <w:rFonts w:hint="eastAsia" w:ascii="宋体" w:hAnsi="宋体" w:eastAsia="宋体" w:cs="宋体"/>
                <w:color w:val="000000"/>
                <w:kern w:val="0"/>
                <w:sz w:val="22"/>
              </w:rPr>
              <w:t>新建室内分布系统18套，覆盖建筑面积545.59万平米；</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1636.77</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567" w:hRule="atLeast"/>
        </w:trPr>
        <w:tc>
          <w:tcPr>
            <w:tcW w:w="7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数据中心</w:t>
            </w:r>
          </w:p>
        </w:tc>
        <w:tc>
          <w:tcPr>
            <w:tcW w:w="279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both"/>
              <w:rPr>
                <w:rFonts w:ascii="宋体" w:hAnsi="宋体" w:eastAsia="宋体" w:cs="宋体"/>
                <w:color w:val="000000"/>
                <w:kern w:val="0"/>
                <w:sz w:val="22"/>
              </w:rPr>
            </w:pPr>
            <w:r>
              <w:rPr>
                <w:rFonts w:hint="eastAsia" w:ascii="宋体" w:hAnsi="宋体" w:eastAsia="宋体" w:cs="宋体"/>
                <w:color w:val="000000"/>
                <w:kern w:val="0"/>
                <w:sz w:val="22"/>
              </w:rPr>
              <w:t>新建数据中心1座，建筑面积5</w:t>
            </w:r>
            <w:r>
              <w:rPr>
                <w:rFonts w:ascii="宋体" w:hAnsi="宋体" w:eastAsia="宋体" w:cs="宋体"/>
                <w:color w:val="000000"/>
                <w:kern w:val="0"/>
                <w:sz w:val="22"/>
              </w:rPr>
              <w:t>5</w:t>
            </w:r>
            <w:r>
              <w:rPr>
                <w:rFonts w:hint="eastAsia" w:ascii="宋体" w:hAnsi="宋体" w:eastAsia="宋体" w:cs="宋体"/>
                <w:color w:val="000000"/>
                <w:kern w:val="0"/>
                <w:sz w:val="22"/>
              </w:rPr>
              <w:t>000平；</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90000</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567" w:hRule="atLeast"/>
        </w:trPr>
        <w:tc>
          <w:tcPr>
            <w:tcW w:w="7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通信局房</w:t>
            </w:r>
          </w:p>
        </w:tc>
        <w:tc>
          <w:tcPr>
            <w:tcW w:w="279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both"/>
              <w:rPr>
                <w:rFonts w:ascii="宋体" w:hAnsi="宋体" w:eastAsia="宋体" w:cs="宋体"/>
                <w:color w:val="000000"/>
                <w:kern w:val="0"/>
                <w:sz w:val="22"/>
              </w:rPr>
            </w:pPr>
            <w:r>
              <w:rPr>
                <w:rFonts w:hint="eastAsia" w:ascii="宋体" w:hAnsi="宋体" w:eastAsia="宋体" w:cs="宋体"/>
                <w:color w:val="000000"/>
                <w:kern w:val="0"/>
                <w:sz w:val="22"/>
              </w:rPr>
              <w:t>新建汇聚机房4座，机房面积</w:t>
            </w:r>
            <w:r>
              <w:rPr>
                <w:rFonts w:ascii="宋体" w:hAnsi="宋体" w:eastAsia="宋体" w:cs="宋体"/>
                <w:color w:val="000000"/>
                <w:kern w:val="0"/>
                <w:sz w:val="22"/>
              </w:rPr>
              <w:t>1200</w:t>
            </w:r>
            <w:r>
              <w:rPr>
                <w:rFonts w:hint="eastAsia" w:ascii="宋体" w:hAnsi="宋体" w:eastAsia="宋体" w:cs="宋体"/>
                <w:color w:val="000000"/>
                <w:kern w:val="0"/>
                <w:sz w:val="22"/>
              </w:rPr>
              <w:t>平方米；</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1200</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567" w:hRule="atLeast"/>
        </w:trPr>
        <w:tc>
          <w:tcPr>
            <w:tcW w:w="7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光缆分纤点</w:t>
            </w:r>
          </w:p>
        </w:tc>
        <w:tc>
          <w:tcPr>
            <w:tcW w:w="279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both"/>
              <w:rPr>
                <w:rFonts w:ascii="宋体" w:hAnsi="宋体" w:eastAsia="宋体" w:cs="宋体"/>
                <w:color w:val="000000"/>
                <w:kern w:val="0"/>
                <w:sz w:val="22"/>
              </w:rPr>
            </w:pPr>
            <w:r>
              <w:rPr>
                <w:rFonts w:hint="eastAsia" w:ascii="宋体" w:hAnsi="宋体" w:eastAsia="宋体" w:cs="宋体"/>
                <w:color w:val="000000"/>
                <w:kern w:val="0"/>
                <w:sz w:val="22"/>
              </w:rPr>
              <w:t>新建分纤点机房20个，机房面积360平；</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120</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567" w:hRule="atLeast"/>
        </w:trPr>
        <w:tc>
          <w:tcPr>
            <w:tcW w:w="79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通信光缆</w:t>
            </w:r>
          </w:p>
        </w:tc>
        <w:tc>
          <w:tcPr>
            <w:tcW w:w="279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both"/>
              <w:rPr>
                <w:rFonts w:ascii="宋体" w:hAnsi="宋体" w:eastAsia="宋体" w:cs="宋体"/>
                <w:color w:val="000000"/>
                <w:kern w:val="0"/>
                <w:sz w:val="22"/>
              </w:rPr>
            </w:pPr>
            <w:r>
              <w:rPr>
                <w:rFonts w:hint="eastAsia" w:ascii="宋体" w:hAnsi="宋体" w:eastAsia="宋体" w:cs="宋体"/>
                <w:color w:val="000000"/>
                <w:kern w:val="0"/>
                <w:sz w:val="22"/>
              </w:rPr>
              <w:t>建设汇聚光缆长度22.1公里；接入主干光缆长度27.2公里；</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295.8</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567" w:hRule="atLeast"/>
        </w:trPr>
        <w:tc>
          <w:tcPr>
            <w:tcW w:w="3585"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总计</w:t>
            </w:r>
          </w:p>
        </w:tc>
        <w:tc>
          <w:tcPr>
            <w:tcW w:w="7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95942.57</w:t>
            </w:r>
          </w:p>
        </w:tc>
        <w:tc>
          <w:tcPr>
            <w:tcW w:w="6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p>
        </w:tc>
      </w:tr>
    </w:tbl>
    <w:p>
      <w:pPr>
        <w:ind w:firstLine="480"/>
      </w:pPr>
    </w:p>
    <w:p>
      <w:pPr>
        <w:ind w:firstLine="480"/>
      </w:pPr>
    </w:p>
    <w:sectPr>
      <w:footerReference r:id="rId11" w:type="default"/>
      <w:pgSz w:w="11906" w:h="16838"/>
      <w:pgMar w:top="1440" w:right="1800" w:bottom="1440" w:left="1800" w:header="851" w:footer="992"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Nimbus Roman No9 L"/>
    <w:panose1 w:val="020B0604020202020204"/>
    <w:charset w:val="86"/>
    <w:family w:val="swiss"/>
    <w:pitch w:val="default"/>
    <w:sig w:usb0="00000000" w:usb1="00000000" w:usb2="0000003F" w:usb3="00000000" w:csb0="003F01FF" w:csb1="00000000"/>
  </w:font>
  <w:font w:name="华文细黑">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t>第</w:t>
    </w:r>
    <w:sdt>
      <w:sdtPr>
        <w:id w:val="1249151671"/>
        <w:docPartObj>
          <w:docPartGallery w:val="autotext"/>
        </w:docPartObj>
      </w:sdtPr>
      <w:sdtContent>
        <w:r>
          <w:fldChar w:fldCharType="begin"/>
        </w:r>
        <w:r>
          <w:instrText xml:space="preserve">PAGE   \* MERGEFORMAT</w:instrText>
        </w:r>
        <w:r>
          <w:fldChar w:fldCharType="separate"/>
        </w:r>
        <w:r>
          <w:rPr>
            <w:lang w:val="zh-CN"/>
          </w:rPr>
          <w:t>16</w:t>
        </w:r>
        <w:r>
          <w:fldChar w:fldCharType="end"/>
        </w:r>
        <w:r>
          <w:t>页</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034482"/>
    <w:multiLevelType w:val="multilevel"/>
    <w:tmpl w:val="0E03448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suff w:val="space"/>
      <w:lvlText w:val="%1.3.%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1A636F07"/>
    <w:multiLevelType w:val="multilevel"/>
    <w:tmpl w:val="1A636F0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25852B1D"/>
    <w:multiLevelType w:val="multilevel"/>
    <w:tmpl w:val="25852B1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A634812"/>
    <w:multiLevelType w:val="multilevel"/>
    <w:tmpl w:val="2A63481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3321265A"/>
    <w:multiLevelType w:val="multilevel"/>
    <w:tmpl w:val="3321265A"/>
    <w:lvl w:ilvl="0" w:tentative="0">
      <w:start w:val="1"/>
      <w:numFmt w:val="decimal"/>
      <w:pStyle w:val="40"/>
      <w:lvlText w:val="(%1)"/>
      <w:lvlJc w:val="left"/>
      <w:pPr>
        <w:tabs>
          <w:tab w:val="left" w:pos="652"/>
        </w:tabs>
        <w:ind w:left="652" w:firstLine="482"/>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bullet"/>
      <w:lvlText w:val=""/>
      <w:lvlJc w:val="left"/>
      <w:pPr>
        <w:tabs>
          <w:tab w:val="left" w:pos="1461"/>
        </w:tabs>
        <w:ind w:left="1461" w:hanging="420"/>
      </w:pPr>
      <w:rPr>
        <w:rFonts w:hint="default" w:ascii="Wingdings" w:hAnsi="Wingdings"/>
      </w:rPr>
    </w:lvl>
    <w:lvl w:ilvl="2" w:tentative="0">
      <w:start w:val="1"/>
      <w:numFmt w:val="bullet"/>
      <w:lvlText w:val=""/>
      <w:lvlJc w:val="left"/>
      <w:pPr>
        <w:tabs>
          <w:tab w:val="left" w:pos="1881"/>
        </w:tabs>
        <w:ind w:left="1881" w:hanging="420"/>
      </w:pPr>
      <w:rPr>
        <w:rFonts w:hint="default" w:ascii="Wingdings" w:hAnsi="Wingdings"/>
      </w:rPr>
    </w:lvl>
    <w:lvl w:ilvl="3" w:tentative="0">
      <w:start w:val="1"/>
      <w:numFmt w:val="bullet"/>
      <w:lvlText w:val=""/>
      <w:lvlJc w:val="left"/>
      <w:pPr>
        <w:tabs>
          <w:tab w:val="left" w:pos="2301"/>
        </w:tabs>
        <w:ind w:left="2301" w:hanging="420"/>
      </w:pPr>
      <w:rPr>
        <w:rFonts w:hint="default" w:ascii="Wingdings" w:hAnsi="Wingdings"/>
      </w:rPr>
    </w:lvl>
    <w:lvl w:ilvl="4" w:tentative="0">
      <w:start w:val="1"/>
      <w:numFmt w:val="bullet"/>
      <w:lvlText w:val=""/>
      <w:lvlJc w:val="left"/>
      <w:pPr>
        <w:tabs>
          <w:tab w:val="left" w:pos="2721"/>
        </w:tabs>
        <w:ind w:left="2721" w:hanging="420"/>
      </w:pPr>
      <w:rPr>
        <w:rFonts w:hint="default" w:ascii="Wingdings" w:hAnsi="Wingdings"/>
      </w:rPr>
    </w:lvl>
    <w:lvl w:ilvl="5" w:tentative="0">
      <w:start w:val="1"/>
      <w:numFmt w:val="bullet"/>
      <w:lvlText w:val=""/>
      <w:lvlJc w:val="left"/>
      <w:pPr>
        <w:tabs>
          <w:tab w:val="left" w:pos="3141"/>
        </w:tabs>
        <w:ind w:left="3141" w:hanging="420"/>
      </w:pPr>
      <w:rPr>
        <w:rFonts w:hint="default" w:ascii="Wingdings" w:hAnsi="Wingdings"/>
      </w:rPr>
    </w:lvl>
    <w:lvl w:ilvl="6" w:tentative="0">
      <w:start w:val="1"/>
      <w:numFmt w:val="bullet"/>
      <w:lvlText w:val=""/>
      <w:lvlJc w:val="left"/>
      <w:pPr>
        <w:tabs>
          <w:tab w:val="left" w:pos="3561"/>
        </w:tabs>
        <w:ind w:left="3561" w:hanging="420"/>
      </w:pPr>
      <w:rPr>
        <w:rFonts w:hint="default" w:ascii="Wingdings" w:hAnsi="Wingdings"/>
      </w:rPr>
    </w:lvl>
    <w:lvl w:ilvl="7" w:tentative="0">
      <w:start w:val="1"/>
      <w:numFmt w:val="bullet"/>
      <w:lvlText w:val=""/>
      <w:lvlJc w:val="left"/>
      <w:pPr>
        <w:tabs>
          <w:tab w:val="left" w:pos="3981"/>
        </w:tabs>
        <w:ind w:left="3981" w:hanging="420"/>
      </w:pPr>
      <w:rPr>
        <w:rFonts w:hint="default" w:ascii="Wingdings" w:hAnsi="Wingdings"/>
      </w:rPr>
    </w:lvl>
    <w:lvl w:ilvl="8" w:tentative="0">
      <w:start w:val="1"/>
      <w:numFmt w:val="bullet"/>
      <w:lvlText w:val=""/>
      <w:lvlJc w:val="left"/>
      <w:pPr>
        <w:tabs>
          <w:tab w:val="left" w:pos="4401"/>
        </w:tabs>
        <w:ind w:left="4401" w:hanging="420"/>
      </w:pPr>
      <w:rPr>
        <w:rFonts w:hint="default" w:ascii="Wingdings" w:hAnsi="Wingdings"/>
      </w:rPr>
    </w:lvl>
  </w:abstractNum>
  <w:abstractNum w:abstractNumId="5">
    <w:nsid w:val="3B241B5D"/>
    <w:multiLevelType w:val="multilevel"/>
    <w:tmpl w:val="3B241B5D"/>
    <w:lvl w:ilvl="0" w:tentative="0">
      <w:start w:val="1"/>
      <w:numFmt w:val="decimal"/>
      <w:suff w:val="space"/>
      <w:lvlText w:val="%1）"/>
      <w:lvlJc w:val="left"/>
      <w:pPr>
        <w:ind w:left="36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FF32167"/>
    <w:multiLevelType w:val="multilevel"/>
    <w:tmpl w:val="3FF32167"/>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49E30E2"/>
    <w:multiLevelType w:val="multilevel"/>
    <w:tmpl w:val="449E30E2"/>
    <w:lvl w:ilvl="0" w:tentative="0">
      <w:start w:val="1"/>
      <w:numFmt w:val="decimal"/>
      <w:lvlText w:val="%1"/>
      <w:lvlJc w:val="left"/>
      <w:pPr>
        <w:ind w:left="425" w:hanging="425"/>
      </w:pPr>
      <w:rPr>
        <w:rFonts w:hint="eastAsia"/>
      </w:rPr>
    </w:lvl>
    <w:lvl w:ilvl="1" w:tentative="0">
      <w:start w:val="1"/>
      <w:numFmt w:val="decimal"/>
      <w:suff w:val="space"/>
      <w:lvlText w:val="%1.%2"/>
      <w:lvlJc w:val="left"/>
      <w:pPr>
        <w:ind w:left="0" w:firstLine="0"/>
      </w:pPr>
      <w:rPr>
        <w:rFonts w:hint="eastAsia" w:ascii="黑体" w:hAnsi="黑体" w:eastAsia="黑体"/>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540F0ED3"/>
    <w:multiLevelType w:val="multilevel"/>
    <w:tmpl w:val="540F0ED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59F42D8A"/>
    <w:multiLevelType w:val="multilevel"/>
    <w:tmpl w:val="59F42D8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FC55CE1"/>
    <w:multiLevelType w:val="multilevel"/>
    <w:tmpl w:val="5FC55CE1"/>
    <w:lvl w:ilvl="0" w:tentative="0">
      <w:start w:val="1"/>
      <w:numFmt w:val="decimal"/>
      <w:suff w:val="space"/>
      <w:lvlText w:val="第%1章"/>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12353B0"/>
    <w:multiLevelType w:val="multilevel"/>
    <w:tmpl w:val="612353B0"/>
    <w:lvl w:ilvl="0" w:tentative="0">
      <w:start w:val="1"/>
      <w:numFmt w:val="decimal"/>
      <w:pStyle w:val="41"/>
      <w:suff w:val="space"/>
      <w:lvlText w:val="(%1)"/>
      <w:lvlJc w:val="left"/>
      <w:pPr>
        <w:ind w:left="0" w:firstLine="482"/>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
    <w:nsid w:val="690B233A"/>
    <w:multiLevelType w:val="multilevel"/>
    <w:tmpl w:val="690B233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1"/>
  </w:num>
  <w:num w:numId="3">
    <w:abstractNumId w:val="10"/>
  </w:num>
  <w:num w:numId="4">
    <w:abstractNumId w:val="7"/>
  </w:num>
  <w:num w:numId="5">
    <w:abstractNumId w:val="1"/>
  </w:num>
  <w:num w:numId="6">
    <w:abstractNumId w:val="0"/>
  </w:num>
  <w:num w:numId="7">
    <w:abstractNumId w:val="3"/>
  </w:num>
  <w:num w:numId="8">
    <w:abstractNumId w:val="2"/>
  </w:num>
  <w:num w:numId="9">
    <w:abstractNumId w:val="9"/>
  </w:num>
  <w:num w:numId="10">
    <w:abstractNumId w:val="12"/>
  </w:num>
  <w:num w:numId="11">
    <w:abstractNumId w:val="0"/>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567" w:hanging="567"/>
        </w:pPr>
        <w:rPr>
          <w:rFonts w:hint="eastAsia"/>
        </w:rPr>
      </w:lvl>
    </w:lvlOverride>
    <w:lvlOverride w:ilvl="2">
      <w:lvl w:ilvl="2" w:tentative="1">
        <w:start w:val="1"/>
        <w:numFmt w:val="decimal"/>
        <w:suff w:val="space"/>
        <w:lvlText w:val="%1.1.%3."/>
        <w:lvlJc w:val="left"/>
        <w:pPr>
          <w:ind w:left="0" w:firstLine="0"/>
        </w:pPr>
        <w:rPr>
          <w:rFonts w:hint="eastAsia"/>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12">
    <w:abstractNumId w:val="6"/>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F07"/>
    <w:rsid w:val="000004D2"/>
    <w:rsid w:val="00004B47"/>
    <w:rsid w:val="000054E8"/>
    <w:rsid w:val="000118A9"/>
    <w:rsid w:val="0002328A"/>
    <w:rsid w:val="00027CE8"/>
    <w:rsid w:val="000400D1"/>
    <w:rsid w:val="00042041"/>
    <w:rsid w:val="000458D2"/>
    <w:rsid w:val="0005323C"/>
    <w:rsid w:val="000707EF"/>
    <w:rsid w:val="0008714E"/>
    <w:rsid w:val="00097259"/>
    <w:rsid w:val="000A7B0F"/>
    <w:rsid w:val="000B7FF5"/>
    <w:rsid w:val="000D5BD0"/>
    <w:rsid w:val="000D7CDC"/>
    <w:rsid w:val="000E014A"/>
    <w:rsid w:val="000E1DA7"/>
    <w:rsid w:val="000E294B"/>
    <w:rsid w:val="000E5399"/>
    <w:rsid w:val="000F23C8"/>
    <w:rsid w:val="00104A6D"/>
    <w:rsid w:val="00113A2E"/>
    <w:rsid w:val="00124233"/>
    <w:rsid w:val="00176CB4"/>
    <w:rsid w:val="00177B9D"/>
    <w:rsid w:val="00182555"/>
    <w:rsid w:val="001847DE"/>
    <w:rsid w:val="00195973"/>
    <w:rsid w:val="001A3117"/>
    <w:rsid w:val="001A5629"/>
    <w:rsid w:val="001B2003"/>
    <w:rsid w:val="001D029A"/>
    <w:rsid w:val="001D05BE"/>
    <w:rsid w:val="001E39A6"/>
    <w:rsid w:val="002023FB"/>
    <w:rsid w:val="002053ED"/>
    <w:rsid w:val="002220D9"/>
    <w:rsid w:val="00236CD5"/>
    <w:rsid w:val="00280D51"/>
    <w:rsid w:val="00281D0E"/>
    <w:rsid w:val="002B05D1"/>
    <w:rsid w:val="002B11BF"/>
    <w:rsid w:val="002C014F"/>
    <w:rsid w:val="002C38F5"/>
    <w:rsid w:val="003270B6"/>
    <w:rsid w:val="00346687"/>
    <w:rsid w:val="00352152"/>
    <w:rsid w:val="00372F42"/>
    <w:rsid w:val="00374FC8"/>
    <w:rsid w:val="00380CB7"/>
    <w:rsid w:val="003855C9"/>
    <w:rsid w:val="003902BA"/>
    <w:rsid w:val="0039708F"/>
    <w:rsid w:val="003B5B47"/>
    <w:rsid w:val="003C1464"/>
    <w:rsid w:val="003D68D6"/>
    <w:rsid w:val="004470E5"/>
    <w:rsid w:val="004A570B"/>
    <w:rsid w:val="004A6818"/>
    <w:rsid w:val="004B3893"/>
    <w:rsid w:val="004C4BFD"/>
    <w:rsid w:val="004D73F8"/>
    <w:rsid w:val="004F1680"/>
    <w:rsid w:val="00507681"/>
    <w:rsid w:val="00512BE7"/>
    <w:rsid w:val="00512C9F"/>
    <w:rsid w:val="00575F6C"/>
    <w:rsid w:val="00595116"/>
    <w:rsid w:val="005A6C20"/>
    <w:rsid w:val="005B4545"/>
    <w:rsid w:val="005F1ABA"/>
    <w:rsid w:val="005F7022"/>
    <w:rsid w:val="00610DF9"/>
    <w:rsid w:val="006347D1"/>
    <w:rsid w:val="00634929"/>
    <w:rsid w:val="006408CF"/>
    <w:rsid w:val="00651078"/>
    <w:rsid w:val="0065642E"/>
    <w:rsid w:val="006710F0"/>
    <w:rsid w:val="00676F45"/>
    <w:rsid w:val="00692298"/>
    <w:rsid w:val="006A3C4F"/>
    <w:rsid w:val="006A7806"/>
    <w:rsid w:val="006D0D84"/>
    <w:rsid w:val="006D1E35"/>
    <w:rsid w:val="006E261E"/>
    <w:rsid w:val="006E26D1"/>
    <w:rsid w:val="007067F5"/>
    <w:rsid w:val="00710FEA"/>
    <w:rsid w:val="00713702"/>
    <w:rsid w:val="0071473E"/>
    <w:rsid w:val="00742F2D"/>
    <w:rsid w:val="00774F5F"/>
    <w:rsid w:val="007A0C45"/>
    <w:rsid w:val="007A5E0F"/>
    <w:rsid w:val="007C6C41"/>
    <w:rsid w:val="007D27A0"/>
    <w:rsid w:val="007D3A02"/>
    <w:rsid w:val="007F0CD0"/>
    <w:rsid w:val="007F76A3"/>
    <w:rsid w:val="008101A0"/>
    <w:rsid w:val="00892CEB"/>
    <w:rsid w:val="008A2786"/>
    <w:rsid w:val="008E7E7A"/>
    <w:rsid w:val="00950B35"/>
    <w:rsid w:val="0097449A"/>
    <w:rsid w:val="009B330F"/>
    <w:rsid w:val="009C7D99"/>
    <w:rsid w:val="009F5CA4"/>
    <w:rsid w:val="009F711A"/>
    <w:rsid w:val="00A07A39"/>
    <w:rsid w:val="00A134DB"/>
    <w:rsid w:val="00A16CC6"/>
    <w:rsid w:val="00A478BD"/>
    <w:rsid w:val="00A55A8D"/>
    <w:rsid w:val="00A6342C"/>
    <w:rsid w:val="00A860DA"/>
    <w:rsid w:val="00AB19B3"/>
    <w:rsid w:val="00AB2252"/>
    <w:rsid w:val="00AF6CD6"/>
    <w:rsid w:val="00B1546C"/>
    <w:rsid w:val="00B27BC5"/>
    <w:rsid w:val="00B4511B"/>
    <w:rsid w:val="00B56B3E"/>
    <w:rsid w:val="00B80334"/>
    <w:rsid w:val="00B853DC"/>
    <w:rsid w:val="00B911B6"/>
    <w:rsid w:val="00BA1F85"/>
    <w:rsid w:val="00BA46D4"/>
    <w:rsid w:val="00BC2708"/>
    <w:rsid w:val="00BE0EC6"/>
    <w:rsid w:val="00BE4689"/>
    <w:rsid w:val="00BF63AE"/>
    <w:rsid w:val="00C10B25"/>
    <w:rsid w:val="00C14946"/>
    <w:rsid w:val="00C3619D"/>
    <w:rsid w:val="00C37F07"/>
    <w:rsid w:val="00C555CA"/>
    <w:rsid w:val="00C80D61"/>
    <w:rsid w:val="00C822F4"/>
    <w:rsid w:val="00C86579"/>
    <w:rsid w:val="00C87EBC"/>
    <w:rsid w:val="00C904D7"/>
    <w:rsid w:val="00CC0609"/>
    <w:rsid w:val="00CD6E31"/>
    <w:rsid w:val="00D04693"/>
    <w:rsid w:val="00D05EC0"/>
    <w:rsid w:val="00D24D33"/>
    <w:rsid w:val="00D25D2E"/>
    <w:rsid w:val="00D379AB"/>
    <w:rsid w:val="00D61948"/>
    <w:rsid w:val="00D7647E"/>
    <w:rsid w:val="00D962A6"/>
    <w:rsid w:val="00DA2CAF"/>
    <w:rsid w:val="00DB52F1"/>
    <w:rsid w:val="00DF4C64"/>
    <w:rsid w:val="00E06DF8"/>
    <w:rsid w:val="00E1470C"/>
    <w:rsid w:val="00E32FCE"/>
    <w:rsid w:val="00E54F65"/>
    <w:rsid w:val="00E70C44"/>
    <w:rsid w:val="00E85F2C"/>
    <w:rsid w:val="00E91085"/>
    <w:rsid w:val="00E91D23"/>
    <w:rsid w:val="00E9317F"/>
    <w:rsid w:val="00EA19B0"/>
    <w:rsid w:val="00EC6E21"/>
    <w:rsid w:val="00ED4729"/>
    <w:rsid w:val="00F21A0B"/>
    <w:rsid w:val="00F2599A"/>
    <w:rsid w:val="00F27332"/>
    <w:rsid w:val="00F3505D"/>
    <w:rsid w:val="00F760C9"/>
    <w:rsid w:val="00F76A61"/>
    <w:rsid w:val="00F91851"/>
    <w:rsid w:val="00F91E5D"/>
    <w:rsid w:val="00FB6E6E"/>
    <w:rsid w:val="00FD08F2"/>
    <w:rsid w:val="00FD2E28"/>
    <w:rsid w:val="00FF3829"/>
    <w:rsid w:val="00FF6F51"/>
    <w:rsid w:val="3FEBF579"/>
    <w:rsid w:val="7A6FF0E9"/>
    <w:rsid w:val="FEB3495D"/>
    <w:rsid w:val="FF7E1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99" w:semiHidden="0" w:name="heading 6"/>
    <w:lsdException w:qFormat="1" w:unhideWhenUsed="0"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2"/>
    <w:qFormat/>
    <w:uiPriority w:val="0"/>
    <w:pPr>
      <w:keepNext/>
      <w:keepLines/>
      <w:spacing w:before="100" w:beforeLines="100" w:after="100" w:afterLines="100"/>
      <w:outlineLvl w:val="0"/>
    </w:pPr>
    <w:rPr>
      <w:rFonts w:eastAsia="黑体"/>
      <w:bCs/>
      <w:kern w:val="44"/>
      <w:sz w:val="36"/>
      <w:szCs w:val="44"/>
    </w:rPr>
  </w:style>
  <w:style w:type="paragraph" w:styleId="3">
    <w:name w:val="heading 2"/>
    <w:basedOn w:val="1"/>
    <w:next w:val="1"/>
    <w:link w:val="23"/>
    <w:unhideWhenUsed/>
    <w:qFormat/>
    <w:uiPriority w:val="0"/>
    <w:pPr>
      <w:keepNext/>
      <w:keepLines/>
      <w:spacing w:after="50" w:afterLines="50"/>
      <w:ind w:firstLine="0" w:firstLineChars="0"/>
      <w:outlineLvl w:val="1"/>
    </w:pPr>
    <w:rPr>
      <w:rFonts w:eastAsia="黑体" w:asciiTheme="majorHAnsi" w:hAnsiTheme="majorHAnsi" w:cstheme="majorBidi"/>
      <w:bCs/>
      <w:sz w:val="30"/>
      <w:szCs w:val="32"/>
    </w:rPr>
  </w:style>
  <w:style w:type="paragraph" w:styleId="4">
    <w:name w:val="heading 3"/>
    <w:basedOn w:val="1"/>
    <w:next w:val="1"/>
    <w:link w:val="24"/>
    <w:unhideWhenUsed/>
    <w:qFormat/>
    <w:uiPriority w:val="0"/>
    <w:pPr>
      <w:keepNext/>
      <w:keepLines/>
      <w:outlineLvl w:val="2"/>
    </w:pPr>
    <w:rPr>
      <w:rFonts w:eastAsia="黑体"/>
      <w:bCs/>
      <w:sz w:val="28"/>
      <w:szCs w:val="32"/>
    </w:rPr>
  </w:style>
  <w:style w:type="paragraph" w:styleId="5">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qFormat/>
    <w:uiPriority w:val="0"/>
    <w:pPr>
      <w:keepNext/>
      <w:keepLines/>
      <w:widowControl/>
      <w:tabs>
        <w:tab w:val="left" w:pos="1080"/>
        <w:tab w:val="left" w:pos="1440"/>
      </w:tabs>
      <w:spacing w:before="120" w:after="120"/>
      <w:ind w:firstLine="0" w:firstLineChars="0"/>
      <w:outlineLvl w:val="4"/>
    </w:pPr>
    <w:rPr>
      <w:rFonts w:ascii="Times New Roman" w:hAnsi="Times New Roman" w:eastAsia="黑体" w:cs="Times New Roman"/>
      <w:bCs/>
      <w:kern w:val="44"/>
      <w:sz w:val="28"/>
      <w:szCs w:val="28"/>
    </w:rPr>
  </w:style>
  <w:style w:type="paragraph" w:styleId="7">
    <w:name w:val="heading 6"/>
    <w:basedOn w:val="1"/>
    <w:next w:val="1"/>
    <w:link w:val="36"/>
    <w:qFormat/>
    <w:uiPriority w:val="99"/>
    <w:pPr>
      <w:keepNext/>
      <w:keepLines/>
      <w:widowControl/>
      <w:tabs>
        <w:tab w:val="left" w:pos="1440"/>
        <w:tab w:val="left" w:pos="1560"/>
      </w:tabs>
      <w:spacing w:before="120" w:after="120"/>
      <w:ind w:firstLine="0" w:firstLineChars="0"/>
      <w:outlineLvl w:val="5"/>
    </w:pPr>
    <w:rPr>
      <w:rFonts w:ascii="Times New Roman" w:hAnsi="Times New Roman" w:eastAsia="黑体" w:cs="Times New Roman"/>
      <w:bCs/>
      <w:kern w:val="44"/>
      <w:sz w:val="28"/>
      <w:szCs w:val="28"/>
    </w:rPr>
  </w:style>
  <w:style w:type="paragraph" w:styleId="8">
    <w:name w:val="heading 7"/>
    <w:basedOn w:val="1"/>
    <w:next w:val="1"/>
    <w:link w:val="37"/>
    <w:qFormat/>
    <w:uiPriority w:val="0"/>
    <w:pPr>
      <w:keepNext/>
      <w:keepLines/>
      <w:widowControl/>
      <w:tabs>
        <w:tab w:val="left" w:pos="1800"/>
      </w:tabs>
      <w:spacing w:before="120" w:after="120"/>
      <w:ind w:firstLine="0" w:firstLineChars="0"/>
      <w:outlineLvl w:val="6"/>
    </w:pPr>
    <w:rPr>
      <w:rFonts w:ascii="Times New Roman" w:hAnsi="Times New Roman" w:eastAsia="黑体" w:cs="Times New Roman"/>
      <w:bCs/>
      <w:kern w:val="44"/>
      <w:sz w:val="28"/>
      <w:szCs w:val="28"/>
    </w:rPr>
  </w:style>
  <w:style w:type="paragraph" w:styleId="9">
    <w:name w:val="heading 8"/>
    <w:basedOn w:val="1"/>
    <w:next w:val="1"/>
    <w:link w:val="33"/>
    <w:unhideWhenUsed/>
    <w:qFormat/>
    <w:uiPriority w:val="0"/>
    <w:pPr>
      <w:keepNext/>
      <w:keepLines/>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4"/>
    <w:unhideWhenUsed/>
    <w:qFormat/>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28"/>
    <w:qFormat/>
    <w:uiPriority w:val="0"/>
    <w:pPr>
      <w:spacing w:line="240" w:lineRule="auto"/>
      <w:ind w:firstLine="0" w:firstLineChars="0"/>
      <w:jc w:val="both"/>
    </w:pPr>
    <w:rPr>
      <w:rFonts w:ascii="Times New Roman" w:hAnsi="Times New Roman"/>
      <w:sz w:val="28"/>
    </w:rPr>
  </w:style>
  <w:style w:type="paragraph" w:styleId="12">
    <w:name w:val="toc 3"/>
    <w:basedOn w:val="1"/>
    <w:next w:val="1"/>
    <w:unhideWhenUsed/>
    <w:qFormat/>
    <w:uiPriority w:val="39"/>
    <w:pPr>
      <w:ind w:left="840" w:leftChars="400"/>
    </w:pPr>
  </w:style>
  <w:style w:type="paragraph" w:styleId="13">
    <w:name w:val="footer"/>
    <w:basedOn w:val="1"/>
    <w:link w:val="21"/>
    <w:unhideWhenUsed/>
    <w:qFormat/>
    <w:uiPriority w:val="99"/>
    <w:pPr>
      <w:tabs>
        <w:tab w:val="center" w:pos="4153"/>
        <w:tab w:val="right" w:pos="8306"/>
      </w:tabs>
      <w:snapToGrid w:val="0"/>
    </w:pPr>
    <w:rPr>
      <w:sz w:val="18"/>
      <w:szCs w:val="18"/>
    </w:rPr>
  </w:style>
  <w:style w:type="paragraph" w:styleId="14">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4"/>
    <w:qFormat/>
    <w:uiPriority w:val="99"/>
    <w:rPr>
      <w:sz w:val="18"/>
      <w:szCs w:val="18"/>
    </w:rPr>
  </w:style>
  <w:style w:type="character" w:customStyle="1" w:styleId="21">
    <w:name w:val="页脚 Char"/>
    <w:basedOn w:val="18"/>
    <w:link w:val="13"/>
    <w:qFormat/>
    <w:uiPriority w:val="99"/>
    <w:rPr>
      <w:sz w:val="18"/>
      <w:szCs w:val="18"/>
    </w:rPr>
  </w:style>
  <w:style w:type="character" w:customStyle="1" w:styleId="22">
    <w:name w:val="标题 1 Char"/>
    <w:basedOn w:val="18"/>
    <w:link w:val="2"/>
    <w:qFormat/>
    <w:uiPriority w:val="9"/>
    <w:rPr>
      <w:rFonts w:eastAsia="黑体"/>
      <w:bCs/>
      <w:kern w:val="44"/>
      <w:sz w:val="36"/>
      <w:szCs w:val="44"/>
    </w:rPr>
  </w:style>
  <w:style w:type="character" w:customStyle="1" w:styleId="23">
    <w:name w:val="标题 2 Char"/>
    <w:basedOn w:val="18"/>
    <w:link w:val="3"/>
    <w:qFormat/>
    <w:uiPriority w:val="9"/>
    <w:rPr>
      <w:rFonts w:eastAsia="黑体" w:asciiTheme="majorHAnsi" w:hAnsiTheme="majorHAnsi" w:cstheme="majorBidi"/>
      <w:bCs/>
      <w:sz w:val="30"/>
      <w:szCs w:val="32"/>
    </w:rPr>
  </w:style>
  <w:style w:type="character" w:customStyle="1" w:styleId="24">
    <w:name w:val="标题 3 Char"/>
    <w:basedOn w:val="18"/>
    <w:link w:val="4"/>
    <w:qFormat/>
    <w:uiPriority w:val="9"/>
    <w:rPr>
      <w:rFonts w:eastAsia="黑体"/>
      <w:bCs/>
      <w:sz w:val="28"/>
      <w:szCs w:val="32"/>
    </w:rPr>
  </w:style>
  <w:style w:type="paragraph" w:styleId="25">
    <w:name w:val="List Paragraph"/>
    <w:basedOn w:val="1"/>
    <w:qFormat/>
    <w:uiPriority w:val="34"/>
    <w:pPr>
      <w:ind w:firstLine="420"/>
    </w:pPr>
  </w:style>
  <w:style w:type="paragraph" w:customStyle="1" w:styleId="26">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27">
    <w:name w:val="列出段落1"/>
    <w:basedOn w:val="1"/>
    <w:qFormat/>
    <w:uiPriority w:val="34"/>
    <w:pPr>
      <w:ind w:firstLine="420"/>
    </w:pPr>
    <w:rPr>
      <w:rFonts w:ascii="Times New Roman" w:hAnsi="Times New Roman" w:eastAsia="宋体" w:cs="Times New Roman"/>
      <w:szCs w:val="24"/>
    </w:rPr>
  </w:style>
  <w:style w:type="character" w:customStyle="1" w:styleId="28">
    <w:name w:val="正文文本 Char"/>
    <w:link w:val="11"/>
    <w:qFormat/>
    <w:uiPriority w:val="0"/>
    <w:rPr>
      <w:rFonts w:ascii="Times New Roman" w:hAnsi="Times New Roman"/>
      <w:sz w:val="28"/>
    </w:rPr>
  </w:style>
  <w:style w:type="character" w:customStyle="1" w:styleId="29">
    <w:name w:val="正文文本 Char1"/>
    <w:basedOn w:val="18"/>
    <w:semiHidden/>
    <w:qFormat/>
    <w:uiPriority w:val="99"/>
    <w:rPr>
      <w:sz w:val="24"/>
    </w:rPr>
  </w:style>
  <w:style w:type="paragraph" w:customStyle="1" w:styleId="30">
    <w:name w:val="表格内容小五"/>
    <w:basedOn w:val="1"/>
    <w:link w:val="31"/>
    <w:qFormat/>
    <w:uiPriority w:val="0"/>
    <w:pPr>
      <w:spacing w:line="240" w:lineRule="auto"/>
      <w:ind w:firstLine="0" w:firstLineChars="0"/>
      <w:jc w:val="center"/>
    </w:pPr>
    <w:rPr>
      <w:rFonts w:ascii="Times New Roman" w:hAnsi="Times New Roman" w:eastAsia="宋体" w:cs="Arial Unicode MS"/>
      <w:kern w:val="0"/>
      <w:sz w:val="18"/>
      <w:szCs w:val="18"/>
    </w:rPr>
  </w:style>
  <w:style w:type="character" w:customStyle="1" w:styleId="31">
    <w:name w:val="表格内容小五 Char"/>
    <w:link w:val="30"/>
    <w:qFormat/>
    <w:uiPriority w:val="0"/>
    <w:rPr>
      <w:rFonts w:ascii="Times New Roman" w:hAnsi="Times New Roman" w:eastAsia="宋体" w:cs="Arial Unicode MS"/>
      <w:kern w:val="0"/>
      <w:sz w:val="18"/>
      <w:szCs w:val="18"/>
    </w:rPr>
  </w:style>
  <w:style w:type="character" w:customStyle="1" w:styleId="32">
    <w:name w:val="标题 4 Char"/>
    <w:basedOn w:val="18"/>
    <w:link w:val="5"/>
    <w:semiHidden/>
    <w:qFormat/>
    <w:uiPriority w:val="9"/>
    <w:rPr>
      <w:rFonts w:asciiTheme="majorHAnsi" w:hAnsiTheme="majorHAnsi" w:eastAsiaTheme="majorEastAsia" w:cstheme="majorBidi"/>
      <w:b/>
      <w:bCs/>
      <w:sz w:val="28"/>
      <w:szCs w:val="28"/>
    </w:rPr>
  </w:style>
  <w:style w:type="character" w:customStyle="1" w:styleId="33">
    <w:name w:val="标题 8 Char"/>
    <w:basedOn w:val="18"/>
    <w:link w:val="9"/>
    <w:semiHidden/>
    <w:qFormat/>
    <w:uiPriority w:val="9"/>
    <w:rPr>
      <w:rFonts w:asciiTheme="majorHAnsi" w:hAnsiTheme="majorHAnsi" w:eastAsiaTheme="majorEastAsia" w:cstheme="majorBidi"/>
      <w:sz w:val="24"/>
      <w:szCs w:val="24"/>
    </w:rPr>
  </w:style>
  <w:style w:type="character" w:customStyle="1" w:styleId="34">
    <w:name w:val="标题 9 Char"/>
    <w:basedOn w:val="18"/>
    <w:link w:val="10"/>
    <w:semiHidden/>
    <w:qFormat/>
    <w:uiPriority w:val="9"/>
    <w:rPr>
      <w:rFonts w:asciiTheme="majorHAnsi" w:hAnsiTheme="majorHAnsi" w:eastAsiaTheme="majorEastAsia" w:cstheme="majorBidi"/>
      <w:szCs w:val="21"/>
    </w:rPr>
  </w:style>
  <w:style w:type="character" w:customStyle="1" w:styleId="35">
    <w:name w:val="标题 5 Char"/>
    <w:basedOn w:val="18"/>
    <w:link w:val="6"/>
    <w:qFormat/>
    <w:uiPriority w:val="0"/>
    <w:rPr>
      <w:rFonts w:ascii="Times New Roman" w:hAnsi="Times New Roman" w:eastAsia="黑体" w:cs="Times New Roman"/>
      <w:bCs/>
      <w:kern w:val="44"/>
      <w:sz w:val="28"/>
      <w:szCs w:val="28"/>
    </w:rPr>
  </w:style>
  <w:style w:type="character" w:customStyle="1" w:styleId="36">
    <w:name w:val="标题 6 Char"/>
    <w:basedOn w:val="18"/>
    <w:link w:val="7"/>
    <w:qFormat/>
    <w:uiPriority w:val="99"/>
    <w:rPr>
      <w:rFonts w:ascii="Times New Roman" w:hAnsi="Times New Roman" w:eastAsia="黑体" w:cs="Times New Roman"/>
      <w:bCs/>
      <w:kern w:val="44"/>
      <w:sz w:val="28"/>
      <w:szCs w:val="28"/>
    </w:rPr>
  </w:style>
  <w:style w:type="character" w:customStyle="1" w:styleId="37">
    <w:name w:val="标题 7 Char"/>
    <w:basedOn w:val="18"/>
    <w:link w:val="8"/>
    <w:qFormat/>
    <w:uiPriority w:val="0"/>
    <w:rPr>
      <w:rFonts w:ascii="Times New Roman" w:hAnsi="Times New Roman" w:eastAsia="黑体" w:cs="Times New Roman"/>
      <w:bCs/>
      <w:kern w:val="44"/>
      <w:sz w:val="28"/>
      <w:szCs w:val="28"/>
    </w:rPr>
  </w:style>
  <w:style w:type="paragraph" w:customStyle="1" w:styleId="38">
    <w:name w:val="表格内容五号"/>
    <w:basedOn w:val="1"/>
    <w:link w:val="39"/>
    <w:qFormat/>
    <w:uiPriority w:val="0"/>
    <w:pPr>
      <w:spacing w:line="240" w:lineRule="auto"/>
      <w:ind w:firstLine="0" w:firstLineChars="0"/>
      <w:jc w:val="center"/>
    </w:pPr>
    <w:rPr>
      <w:rFonts w:ascii="Times New Roman" w:hAnsi="Times New Roman" w:eastAsia="宋体" w:cs="Arial Unicode MS"/>
      <w:kern w:val="0"/>
      <w:sz w:val="21"/>
      <w:szCs w:val="21"/>
    </w:rPr>
  </w:style>
  <w:style w:type="character" w:customStyle="1" w:styleId="39">
    <w:name w:val="表格内容五号 Char"/>
    <w:link w:val="38"/>
    <w:qFormat/>
    <w:uiPriority w:val="0"/>
    <w:rPr>
      <w:rFonts w:ascii="Times New Roman" w:hAnsi="Times New Roman" w:eastAsia="宋体" w:cs="Arial Unicode MS"/>
      <w:kern w:val="0"/>
      <w:szCs w:val="21"/>
    </w:rPr>
  </w:style>
  <w:style w:type="paragraph" w:customStyle="1" w:styleId="40">
    <w:name w:val="正文一级项目列"/>
    <w:basedOn w:val="1"/>
    <w:qFormat/>
    <w:uiPriority w:val="0"/>
    <w:pPr>
      <w:numPr>
        <w:ilvl w:val="0"/>
        <w:numId w:val="1"/>
      </w:numPr>
      <w:tabs>
        <w:tab w:val="left" w:pos="0"/>
        <w:tab w:val="left" w:pos="840"/>
      </w:tabs>
      <w:ind w:firstLine="0" w:firstLineChars="0"/>
    </w:pPr>
    <w:rPr>
      <w:rFonts w:ascii="Times New Roman" w:hAnsi="Times New Roman" w:eastAsia="宋体" w:cs="Times New Roman"/>
      <w:szCs w:val="24"/>
    </w:rPr>
  </w:style>
  <w:style w:type="paragraph" w:customStyle="1" w:styleId="41">
    <w:name w:val="正文二级项目列"/>
    <w:basedOn w:val="1"/>
    <w:qFormat/>
    <w:uiPriority w:val="0"/>
    <w:pPr>
      <w:widowControl/>
      <w:numPr>
        <w:ilvl w:val="0"/>
        <w:numId w:val="2"/>
      </w:numPr>
      <w:tabs>
        <w:tab w:val="left" w:pos="840"/>
      </w:tabs>
      <w:ind w:firstLine="0" w:firstLineChars="0"/>
    </w:pPr>
    <w:rPr>
      <w:rFonts w:ascii="Times New Roman" w:hAnsi="Times New Roman" w:eastAsia="宋体" w:cs="Times New Roman"/>
      <w:szCs w:val="24"/>
    </w:rPr>
  </w:style>
  <w:style w:type="paragraph" w:customStyle="1" w:styleId="42">
    <w:name w:val="TOC Heading"/>
    <w:basedOn w:val="2"/>
    <w:next w:val="1"/>
    <w:unhideWhenUsed/>
    <w:qFormat/>
    <w:uiPriority w:val="39"/>
    <w:pPr>
      <w:widowControl/>
      <w:spacing w:before="240" w:beforeLines="0" w:after="0" w:afterLines="0" w:line="259" w:lineRule="auto"/>
      <w:ind w:firstLine="0" w:firstLineChars="0"/>
      <w:outlineLvl w:val="9"/>
    </w:pPr>
    <w:rPr>
      <w:rFonts w:asciiTheme="majorHAnsi" w:hAnsiTheme="majorHAnsi" w:eastAsiaTheme="majorEastAsia" w:cstheme="majorBidi"/>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bone/AppData/Roaming/Tencent/Users/297122454/QQ/WinTemp/RichOle/OI0@D%2525255bX%2525257dL%2525257bJE%25252525XHFJ6V)OAX.png" TargetMode="External"/><Relationship Id="rId23" Type="http://schemas.openxmlformats.org/officeDocument/2006/relationships/image" Target="media/image10.png"/><Relationship Id="rId22" Type="http://schemas.openxmlformats.org/officeDocument/2006/relationships/image" Target="../../../../../bone/AppData/Roaming/Tencent/Users/297122454/QQ/WinTemp/RichOle/ZE%2525255dPDRT(5NC(%252525257%2525257bM6%2525255d2JT~4.png" TargetMode="Externa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5686</Words>
  <Characters>32416</Characters>
  <Lines>270</Lines>
  <Paragraphs>76</Paragraphs>
  <TotalTime>2</TotalTime>
  <ScaleCrop>false</ScaleCrop>
  <LinksUpToDate>false</LinksUpToDate>
  <CharactersWithSpaces>38026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2019-08-06T16:24:00Z</dcterms:created>
  <dc:creator>宋鹏</dc:creator>
  <cp:lastModifiedBy>kylin</cp:lastModifiedBy>
  <cp:lastPrinted>2019-09-13T03:27:00Z</cp:lastPrinted>
  <dcterms:modified xsi:type="dcterms:W3CDTF">2024-05-16T16:18:57Z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