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53"/>
          <w:tab w:val="center" w:pos="7033"/>
        </w:tabs>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附件</w:t>
      </w:r>
    </w:p>
    <w:p>
      <w:pPr>
        <w:tabs>
          <w:tab w:val="left" w:pos="1153"/>
          <w:tab w:val="center" w:pos="7033"/>
        </w:tabs>
        <w:jc w:val="center"/>
        <w:rPr>
          <w:rFonts w:hint="eastAsia" w:ascii="楷体_GB2312" w:eastAsia="方正小标宋简体"/>
          <w:sz w:val="32"/>
          <w:szCs w:val="32"/>
          <w:lang w:eastAsia="zh-CN"/>
        </w:rPr>
      </w:pPr>
      <w:r>
        <w:rPr>
          <w:rFonts w:hint="eastAsia" w:ascii="方正小标宋简体" w:eastAsia="方正小标宋简体"/>
          <w:sz w:val="44"/>
          <w:szCs w:val="44"/>
          <w:lang w:eastAsia="zh-CN"/>
        </w:rPr>
        <w:t>海南</w:t>
      </w:r>
      <w:bookmarkStart w:id="0" w:name="_GoBack"/>
      <w:bookmarkEnd w:id="0"/>
      <w:r>
        <w:rPr>
          <w:rFonts w:hint="eastAsia" w:ascii="方正小标宋简体" w:eastAsia="方正小标宋简体"/>
          <w:sz w:val="44"/>
          <w:szCs w:val="44"/>
          <w:lang w:eastAsia="zh-CN"/>
        </w:rPr>
        <w:t>省通信管理局</w:t>
      </w:r>
      <w:r>
        <w:rPr>
          <w:rFonts w:hint="eastAsia" w:ascii="方正小标宋简体" w:eastAsia="方正小标宋简体"/>
          <w:sz w:val="44"/>
          <w:szCs w:val="44"/>
        </w:rPr>
        <w:t>“查堵点、破难题、促发展”活动已解决问题公示</w:t>
      </w:r>
      <w:r>
        <w:rPr>
          <w:rFonts w:hint="eastAsia" w:ascii="方正小标宋简体" w:eastAsia="方正小标宋简体"/>
          <w:sz w:val="44"/>
          <w:szCs w:val="44"/>
          <w:lang w:eastAsia="zh-CN"/>
        </w:rPr>
        <w:t>清单</w:t>
      </w:r>
    </w:p>
    <w:p>
      <w:pPr>
        <w:spacing w:line="400" w:lineRule="exact"/>
        <w:jc w:val="center"/>
        <w:rPr>
          <w:rFonts w:ascii="楷体_GB2312" w:eastAsia="楷体_GB2312"/>
          <w:sz w:val="32"/>
          <w:szCs w:val="32"/>
        </w:rPr>
      </w:pPr>
    </w:p>
    <w:tbl>
      <w:tblPr>
        <w:tblStyle w:val="6"/>
        <w:tblW w:w="14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293"/>
        <w:gridCol w:w="2010"/>
        <w:gridCol w:w="1410"/>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868" w:type="dxa"/>
            <w:vAlign w:val="center"/>
          </w:tcPr>
          <w:p>
            <w:pPr>
              <w:spacing w:line="400" w:lineRule="exact"/>
              <w:jc w:val="center"/>
              <w:rPr>
                <w:rFonts w:asciiTheme="minorEastAsia" w:hAnsiTheme="minorEastAsia"/>
                <w:b/>
                <w:bCs/>
                <w:sz w:val="24"/>
                <w:szCs w:val="24"/>
              </w:rPr>
            </w:pPr>
            <w:r>
              <w:rPr>
                <w:rFonts w:hint="eastAsia" w:asciiTheme="minorEastAsia" w:hAnsiTheme="minorEastAsia"/>
                <w:b/>
                <w:bCs/>
                <w:sz w:val="24"/>
                <w:szCs w:val="24"/>
              </w:rPr>
              <w:t>序号</w:t>
            </w:r>
          </w:p>
        </w:tc>
        <w:tc>
          <w:tcPr>
            <w:tcW w:w="1293" w:type="dxa"/>
            <w:vAlign w:val="center"/>
          </w:tcPr>
          <w:p>
            <w:pPr>
              <w:spacing w:line="400" w:lineRule="exact"/>
              <w:jc w:val="center"/>
              <w:rPr>
                <w:rFonts w:asciiTheme="minorEastAsia" w:hAnsiTheme="minorEastAsia"/>
                <w:b/>
                <w:bCs/>
                <w:sz w:val="24"/>
                <w:szCs w:val="24"/>
              </w:rPr>
            </w:pPr>
            <w:r>
              <w:rPr>
                <w:rFonts w:hint="eastAsia" w:asciiTheme="minorEastAsia" w:hAnsiTheme="minorEastAsia"/>
                <w:b/>
                <w:bCs/>
                <w:sz w:val="24"/>
                <w:szCs w:val="24"/>
              </w:rPr>
              <w:t>牵头单位</w:t>
            </w:r>
          </w:p>
        </w:tc>
        <w:tc>
          <w:tcPr>
            <w:tcW w:w="2010" w:type="dxa"/>
            <w:vAlign w:val="center"/>
          </w:tcPr>
          <w:p>
            <w:pPr>
              <w:spacing w:line="400" w:lineRule="exact"/>
              <w:jc w:val="center"/>
              <w:rPr>
                <w:rFonts w:asciiTheme="minorEastAsia" w:hAnsiTheme="minorEastAsia"/>
                <w:b/>
                <w:bCs/>
                <w:sz w:val="24"/>
                <w:szCs w:val="24"/>
              </w:rPr>
            </w:pPr>
            <w:r>
              <w:rPr>
                <w:rFonts w:hint="eastAsia" w:asciiTheme="minorEastAsia" w:hAnsiTheme="minorEastAsia"/>
                <w:b/>
                <w:bCs/>
                <w:sz w:val="24"/>
                <w:szCs w:val="24"/>
              </w:rPr>
              <w:t>问题概况</w:t>
            </w:r>
          </w:p>
        </w:tc>
        <w:tc>
          <w:tcPr>
            <w:tcW w:w="1410" w:type="dxa"/>
            <w:vAlign w:val="center"/>
          </w:tcPr>
          <w:p>
            <w:pPr>
              <w:tabs>
                <w:tab w:val="left" w:pos="378"/>
              </w:tabs>
              <w:spacing w:line="400" w:lineRule="exact"/>
              <w:jc w:val="center"/>
              <w:rPr>
                <w:rFonts w:asciiTheme="minorEastAsia" w:hAnsiTheme="minorEastAsia"/>
                <w:b/>
                <w:bCs/>
                <w:sz w:val="24"/>
                <w:szCs w:val="24"/>
              </w:rPr>
            </w:pPr>
            <w:r>
              <w:rPr>
                <w:rFonts w:hint="eastAsia" w:asciiTheme="minorEastAsia" w:hAnsiTheme="minorEastAsia"/>
                <w:b/>
                <w:bCs/>
                <w:sz w:val="24"/>
                <w:szCs w:val="24"/>
              </w:rPr>
              <w:t>问题来源</w:t>
            </w:r>
          </w:p>
        </w:tc>
        <w:tc>
          <w:tcPr>
            <w:tcW w:w="4470" w:type="dxa"/>
            <w:vAlign w:val="center"/>
          </w:tcPr>
          <w:p>
            <w:pPr>
              <w:spacing w:line="400" w:lineRule="exact"/>
              <w:jc w:val="center"/>
              <w:rPr>
                <w:rFonts w:asciiTheme="minorEastAsia" w:hAnsiTheme="minorEastAsia"/>
                <w:b/>
                <w:bCs/>
                <w:sz w:val="24"/>
                <w:szCs w:val="24"/>
              </w:rPr>
            </w:pPr>
            <w:r>
              <w:rPr>
                <w:rFonts w:hint="eastAsia" w:asciiTheme="minorEastAsia" w:hAnsiTheme="minorEastAsia"/>
                <w:b/>
                <w:bCs/>
                <w:sz w:val="24"/>
                <w:szCs w:val="24"/>
              </w:rPr>
              <w:t>主要措施</w:t>
            </w:r>
          </w:p>
        </w:tc>
        <w:tc>
          <w:tcPr>
            <w:tcW w:w="4470" w:type="dxa"/>
            <w:vAlign w:val="center"/>
          </w:tcPr>
          <w:p>
            <w:pPr>
              <w:spacing w:line="400" w:lineRule="exact"/>
              <w:jc w:val="center"/>
              <w:rPr>
                <w:rFonts w:asciiTheme="minorEastAsia" w:hAnsiTheme="minorEastAsia"/>
                <w:b/>
                <w:bCs/>
                <w:sz w:val="24"/>
                <w:szCs w:val="24"/>
              </w:rPr>
            </w:pPr>
            <w:r>
              <w:rPr>
                <w:rFonts w:hint="eastAsia" w:asciiTheme="minorEastAsia" w:hAnsiTheme="minorEastAsia"/>
                <w:b/>
                <w:bCs/>
                <w:sz w:val="24"/>
                <w:szCs w:val="24"/>
              </w:rPr>
              <w:t xml:space="preserve">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sz w:val="24"/>
                <w:szCs w:val="24"/>
              </w:rPr>
            </w:pPr>
            <w:r>
              <w:rPr>
                <w:rFonts w:hint="eastAsia" w:ascii="仿宋" w:hAnsi="仿宋" w:eastAsia="仿宋" w:cs="仿宋"/>
                <w:sz w:val="24"/>
                <w:szCs w:val="24"/>
                <w:lang w:val="en-US" w:eastAsia="zh-CN"/>
              </w:rPr>
              <w:t>1</w:t>
            </w:r>
          </w:p>
        </w:tc>
        <w:tc>
          <w:tcPr>
            <w:tcW w:w="12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sz w:val="24"/>
                <w:szCs w:val="24"/>
              </w:rPr>
            </w:pPr>
            <w:r>
              <w:rPr>
                <w:rFonts w:hint="eastAsia" w:ascii="仿宋" w:hAnsi="仿宋" w:eastAsia="仿宋" w:cs="仿宋"/>
                <w:sz w:val="24"/>
                <w:szCs w:val="24"/>
                <w:lang w:eastAsia="zh-CN"/>
              </w:rPr>
              <w:t>海南省通信管理局</w:t>
            </w:r>
          </w:p>
        </w:tc>
        <w:tc>
          <w:tcPr>
            <w:tcW w:w="20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sz w:val="24"/>
                <w:szCs w:val="24"/>
                <w:lang w:val="en-US"/>
              </w:rPr>
            </w:pPr>
            <w:r>
              <w:rPr>
                <w:rFonts w:hint="eastAsia" w:ascii="仿宋" w:hAnsi="仿宋" w:eastAsia="仿宋" w:cs="仿宋"/>
                <w:sz w:val="24"/>
                <w:szCs w:val="24"/>
              </w:rPr>
              <w:t>海口移动拟</w:t>
            </w:r>
            <w:r>
              <w:rPr>
                <w:rFonts w:hint="eastAsia" w:ascii="仿宋" w:hAnsi="仿宋" w:eastAsia="仿宋" w:cs="仿宋"/>
                <w:sz w:val="24"/>
                <w:szCs w:val="24"/>
                <w:lang w:eastAsia="zh-CN"/>
              </w:rPr>
              <w:t>于</w:t>
            </w:r>
            <w:r>
              <w:rPr>
                <w:rFonts w:hint="eastAsia" w:ascii="仿宋" w:hAnsi="仿宋" w:eastAsia="仿宋" w:cs="仿宋"/>
                <w:sz w:val="24"/>
                <w:szCs w:val="24"/>
                <w:lang w:val="en-US" w:eastAsia="zh-CN"/>
              </w:rPr>
              <w:t>2021年5月12日</w:t>
            </w:r>
            <w:r>
              <w:rPr>
                <w:rFonts w:hint="eastAsia" w:ascii="仿宋" w:hAnsi="仿宋" w:eastAsia="仿宋" w:cs="仿宋"/>
                <w:sz w:val="24"/>
                <w:szCs w:val="24"/>
              </w:rPr>
              <w:t>为海口龙珠新城小区用户接入宽带，海口电信以自建该小区通信管道为由阻止海口移动接入光缆。</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sz w:val="24"/>
                <w:szCs w:val="24"/>
              </w:rPr>
            </w:pPr>
            <w:r>
              <w:rPr>
                <w:rFonts w:hint="eastAsia" w:ascii="仿宋" w:hAnsi="仿宋" w:eastAsia="仿宋" w:cs="仿宋"/>
                <w:sz w:val="24"/>
                <w:szCs w:val="24"/>
                <w:lang w:eastAsia="zh-CN"/>
              </w:rPr>
              <w:t>自查</w:t>
            </w:r>
          </w:p>
        </w:tc>
        <w:tc>
          <w:tcPr>
            <w:tcW w:w="44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4"/>
                <w:szCs w:val="24"/>
                <w:lang w:eastAsia="zh-CN"/>
              </w:rPr>
            </w:pPr>
            <w:r>
              <w:rPr>
                <w:rFonts w:hint="eastAsia" w:asciiTheme="minorEastAsia" w:hAnsiTheme="minorEastAsia"/>
                <w:sz w:val="24"/>
                <w:szCs w:val="24"/>
              </w:rPr>
              <w:t>1</w:t>
            </w:r>
            <w:r>
              <w:rPr>
                <w:rFonts w:hint="eastAsia" w:ascii="仿宋" w:hAnsi="仿宋" w:eastAsia="仿宋" w:cs="仿宋"/>
                <w:sz w:val="24"/>
                <w:szCs w:val="24"/>
                <w:lang w:eastAsia="zh-CN"/>
              </w:rPr>
              <w:t>.省通信管理局</w:t>
            </w:r>
            <w:r>
              <w:rPr>
                <w:rFonts w:hint="eastAsia" w:ascii="仿宋" w:hAnsi="仿宋" w:eastAsia="仿宋" w:cs="仿宋"/>
                <w:sz w:val="24"/>
                <w:szCs w:val="24"/>
                <w:lang w:val="en-US" w:eastAsia="zh-CN"/>
              </w:rPr>
              <w:t>2021年5月17日</w:t>
            </w:r>
            <w:r>
              <w:rPr>
                <w:rFonts w:hint="eastAsia" w:ascii="仿宋" w:hAnsi="仿宋" w:eastAsia="仿宋" w:cs="仿宋"/>
                <w:sz w:val="24"/>
                <w:szCs w:val="24"/>
                <w:lang w:eastAsia="zh-CN"/>
              </w:rPr>
              <w:t>前往海口龙珠新城小区了解通信设施建设、接入情况及双方争议地段。</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省通信管理局</w:t>
            </w:r>
            <w:r>
              <w:rPr>
                <w:rFonts w:hint="eastAsia" w:ascii="仿宋" w:hAnsi="仿宋" w:eastAsia="仿宋" w:cs="仿宋"/>
                <w:sz w:val="24"/>
                <w:szCs w:val="24"/>
                <w:lang w:val="en-US" w:eastAsia="zh-CN"/>
              </w:rPr>
              <w:t>2021年5月18日</w:t>
            </w:r>
            <w:r>
              <w:rPr>
                <w:rFonts w:hint="eastAsia" w:ascii="仿宋" w:hAnsi="仿宋" w:eastAsia="仿宋" w:cs="仿宋"/>
                <w:sz w:val="24"/>
                <w:szCs w:val="24"/>
                <w:lang w:eastAsia="zh-CN"/>
              </w:rPr>
              <w:t>组织海口电信、海口移动开展座谈，宣贯通信设施相关政策文件，详细解释通信设施归属问题及相关违法行为的处罚措施，并要求海口电信按照相关政策要求开放通信资源，不得阻碍公平接入。</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3.省通信管理局于2021年8月18日前往</w:t>
            </w:r>
            <w:r>
              <w:rPr>
                <w:rFonts w:hint="eastAsia" w:ascii="仿宋" w:hAnsi="仿宋" w:eastAsia="仿宋" w:cs="仿宋"/>
                <w:sz w:val="24"/>
                <w:szCs w:val="24"/>
              </w:rPr>
              <w:t>海口龙珠新城小区</w:t>
            </w:r>
            <w:r>
              <w:rPr>
                <w:rFonts w:hint="eastAsia" w:ascii="仿宋" w:hAnsi="仿宋" w:eastAsia="仿宋" w:cs="仿宋"/>
                <w:sz w:val="24"/>
                <w:szCs w:val="24"/>
                <w:lang w:eastAsia="zh-CN"/>
              </w:rPr>
              <w:t>检查海口移动宽带建设及为用户开通服务情况。</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4.省通信管理局向</w:t>
            </w:r>
            <w:r>
              <w:rPr>
                <w:rFonts w:hint="eastAsia" w:ascii="仿宋" w:hAnsi="仿宋" w:eastAsia="仿宋" w:cs="仿宋"/>
                <w:sz w:val="24"/>
                <w:szCs w:val="24"/>
              </w:rPr>
              <w:t>海口龙珠新城小区</w:t>
            </w:r>
            <w:r>
              <w:rPr>
                <w:rFonts w:hint="eastAsia" w:ascii="仿宋" w:hAnsi="仿宋" w:eastAsia="仿宋" w:cs="仿宋"/>
                <w:sz w:val="24"/>
                <w:szCs w:val="24"/>
                <w:lang w:val="en-US" w:eastAsia="zh-CN"/>
              </w:rPr>
              <w:t>物业相关负责人宣贯</w:t>
            </w:r>
            <w:r>
              <w:rPr>
                <w:rFonts w:hint="eastAsia" w:ascii="仿宋" w:hAnsi="仿宋" w:eastAsia="仿宋" w:cs="仿宋"/>
                <w:sz w:val="24"/>
                <w:szCs w:val="24"/>
                <w:lang w:eastAsia="zh-CN"/>
              </w:rPr>
              <w:t>通信设施相关政策文件，指导物业继续向其他基础电信企业免费开放小区红线范围内的通信设施。</w:t>
            </w:r>
          </w:p>
        </w:tc>
        <w:tc>
          <w:tcPr>
            <w:tcW w:w="44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eastAsia="zh-CN"/>
              </w:rPr>
              <w:t>海口移动于</w:t>
            </w:r>
            <w:r>
              <w:rPr>
                <w:rFonts w:hint="eastAsia" w:ascii="仿宋" w:hAnsi="仿宋" w:eastAsia="仿宋" w:cs="仿宋"/>
                <w:sz w:val="24"/>
                <w:szCs w:val="24"/>
                <w:lang w:val="en-US" w:eastAsia="zh-CN"/>
              </w:rPr>
              <w:t>2021年7月5日前已接入光缆。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eastAsia="zh-CN"/>
              </w:rPr>
              <w:t>针对此类问题，省通信管理局于</w:t>
            </w:r>
            <w:r>
              <w:rPr>
                <w:rFonts w:hint="eastAsia" w:ascii="仿宋" w:hAnsi="仿宋" w:eastAsia="仿宋" w:cs="仿宋"/>
                <w:sz w:val="24"/>
                <w:szCs w:val="24"/>
                <w:lang w:val="en-US" w:eastAsia="zh-CN"/>
              </w:rPr>
              <w:t>2021年7月9日</w:t>
            </w:r>
            <w:r>
              <w:rPr>
                <w:rFonts w:hint="eastAsia" w:ascii="仿宋" w:hAnsi="仿宋" w:eastAsia="仿宋" w:cs="仿宋"/>
                <w:sz w:val="24"/>
                <w:szCs w:val="24"/>
                <w:lang w:eastAsia="zh-CN"/>
              </w:rPr>
              <w:t>印发《关于严格执行通信设施建设相关法律法规的通知》（琼通信局﹝</w:t>
            </w:r>
            <w:r>
              <w:rPr>
                <w:rFonts w:hint="eastAsia" w:ascii="仿宋" w:hAnsi="仿宋" w:eastAsia="仿宋" w:cs="仿宋"/>
                <w:sz w:val="24"/>
                <w:szCs w:val="24"/>
                <w:lang w:val="en-US" w:eastAsia="zh-CN"/>
              </w:rPr>
              <w:t>2021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103号</w:t>
            </w:r>
            <w:r>
              <w:rPr>
                <w:rFonts w:hint="eastAsia" w:ascii="仿宋" w:hAnsi="仿宋" w:eastAsia="仿宋" w:cs="仿宋"/>
                <w:sz w:val="24"/>
                <w:szCs w:val="24"/>
                <w:lang w:eastAsia="zh-CN"/>
              </w:rPr>
              <w:t>），要求各相关单位落实相关政策，省通信管理局将严格执法，严厉打击不公平竞争行为，形成长效机制。</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3.截至2021年8月底，海口移动已为</w:t>
            </w:r>
            <w:r>
              <w:rPr>
                <w:rFonts w:hint="eastAsia" w:ascii="仿宋" w:hAnsi="仿宋" w:eastAsia="仿宋" w:cs="仿宋"/>
                <w:sz w:val="24"/>
                <w:szCs w:val="24"/>
              </w:rPr>
              <w:t>海口龙珠新城小区</w:t>
            </w:r>
            <w:r>
              <w:rPr>
                <w:rFonts w:hint="eastAsia" w:ascii="仿宋" w:hAnsi="仿宋" w:eastAsia="仿宋" w:cs="仿宋"/>
                <w:sz w:val="24"/>
                <w:szCs w:val="24"/>
                <w:lang w:eastAsia="zh-CN"/>
              </w:rPr>
              <w:t>用户提供宽带服务。</w:t>
            </w:r>
          </w:p>
        </w:tc>
      </w:tr>
    </w:tbl>
    <w:p>
      <w:pPr>
        <w:rPr>
          <w:rFonts w:hint="eastAsia" w:eastAsiaTheme="minorEastAsia"/>
          <w:b/>
          <w:bCs/>
          <w:sz w:val="32"/>
          <w:szCs w:val="32"/>
          <w:lang w:eastAsia="zh-CN"/>
        </w:rPr>
      </w:pPr>
    </w:p>
    <w:sectPr>
      <w:footerReference r:id="rId3" w:type="default"/>
      <w:pgSz w:w="16838" w:h="11906" w:orient="landscape"/>
      <w:pgMar w:top="1531" w:right="1191" w:bottom="1474" w:left="1701"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679776"/>
      <w:docPartObj>
        <w:docPartGallery w:val="autotext"/>
      </w:docPartObj>
    </w:sdtPr>
    <w:sdtEndPr>
      <w:rPr>
        <w:sz w:val="24"/>
        <w:szCs w:val="24"/>
      </w:rPr>
    </w:sdtEndPr>
    <w:sdtContent>
      <w:p>
        <w:pPr>
          <w:pStyle w:val="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w:t>
        </w:r>
        <w:r>
          <w:rPr>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0D"/>
    <w:rsid w:val="00024515"/>
    <w:rsid w:val="000266F3"/>
    <w:rsid w:val="00080FDF"/>
    <w:rsid w:val="00091345"/>
    <w:rsid w:val="000A3D72"/>
    <w:rsid w:val="00120F20"/>
    <w:rsid w:val="00153D05"/>
    <w:rsid w:val="00170105"/>
    <w:rsid w:val="00186269"/>
    <w:rsid w:val="001B0719"/>
    <w:rsid w:val="001B4219"/>
    <w:rsid w:val="001C7C43"/>
    <w:rsid w:val="001D16C2"/>
    <w:rsid w:val="0020477D"/>
    <w:rsid w:val="0021358D"/>
    <w:rsid w:val="00241977"/>
    <w:rsid w:val="00244E98"/>
    <w:rsid w:val="00277568"/>
    <w:rsid w:val="00292214"/>
    <w:rsid w:val="002A23A3"/>
    <w:rsid w:val="002B085A"/>
    <w:rsid w:val="002B4BD6"/>
    <w:rsid w:val="002C1E38"/>
    <w:rsid w:val="002C67BD"/>
    <w:rsid w:val="002C7CCA"/>
    <w:rsid w:val="002D6B73"/>
    <w:rsid w:val="002F7E28"/>
    <w:rsid w:val="00306907"/>
    <w:rsid w:val="003345C9"/>
    <w:rsid w:val="0034768B"/>
    <w:rsid w:val="00362F5B"/>
    <w:rsid w:val="0036311D"/>
    <w:rsid w:val="003A5471"/>
    <w:rsid w:val="003B4A30"/>
    <w:rsid w:val="003B4F38"/>
    <w:rsid w:val="003B50AD"/>
    <w:rsid w:val="003C0574"/>
    <w:rsid w:val="003D7CC5"/>
    <w:rsid w:val="003E0EF2"/>
    <w:rsid w:val="00413C4A"/>
    <w:rsid w:val="00420C5C"/>
    <w:rsid w:val="00443FF9"/>
    <w:rsid w:val="00456273"/>
    <w:rsid w:val="00456D2E"/>
    <w:rsid w:val="004925F4"/>
    <w:rsid w:val="00493BAE"/>
    <w:rsid w:val="004A5FB8"/>
    <w:rsid w:val="004A7723"/>
    <w:rsid w:val="004B1832"/>
    <w:rsid w:val="004B33C2"/>
    <w:rsid w:val="004B45B7"/>
    <w:rsid w:val="004C4C04"/>
    <w:rsid w:val="004D11DA"/>
    <w:rsid w:val="004F074F"/>
    <w:rsid w:val="00516F09"/>
    <w:rsid w:val="005243C3"/>
    <w:rsid w:val="00540626"/>
    <w:rsid w:val="005466AA"/>
    <w:rsid w:val="005636C3"/>
    <w:rsid w:val="00581748"/>
    <w:rsid w:val="005A60C1"/>
    <w:rsid w:val="005E5B4B"/>
    <w:rsid w:val="006011F5"/>
    <w:rsid w:val="00602C8C"/>
    <w:rsid w:val="006A3403"/>
    <w:rsid w:val="006B05C9"/>
    <w:rsid w:val="006C3BC0"/>
    <w:rsid w:val="006C436A"/>
    <w:rsid w:val="006D3C8D"/>
    <w:rsid w:val="006F35F1"/>
    <w:rsid w:val="006F709B"/>
    <w:rsid w:val="00721A7B"/>
    <w:rsid w:val="00730B69"/>
    <w:rsid w:val="00742657"/>
    <w:rsid w:val="0076583D"/>
    <w:rsid w:val="00777CFA"/>
    <w:rsid w:val="00783BD2"/>
    <w:rsid w:val="00800681"/>
    <w:rsid w:val="00800FDF"/>
    <w:rsid w:val="008048EA"/>
    <w:rsid w:val="00804BF1"/>
    <w:rsid w:val="00814A08"/>
    <w:rsid w:val="00816785"/>
    <w:rsid w:val="008237DB"/>
    <w:rsid w:val="00826C09"/>
    <w:rsid w:val="00827473"/>
    <w:rsid w:val="00846326"/>
    <w:rsid w:val="00894A77"/>
    <w:rsid w:val="008A371C"/>
    <w:rsid w:val="008C3CCA"/>
    <w:rsid w:val="008C3DFC"/>
    <w:rsid w:val="008C632B"/>
    <w:rsid w:val="008D1632"/>
    <w:rsid w:val="008E6112"/>
    <w:rsid w:val="00907FDB"/>
    <w:rsid w:val="0093344F"/>
    <w:rsid w:val="00961F3E"/>
    <w:rsid w:val="009A5648"/>
    <w:rsid w:val="009B5DF0"/>
    <w:rsid w:val="00A03BD9"/>
    <w:rsid w:val="00A058EB"/>
    <w:rsid w:val="00A36BC5"/>
    <w:rsid w:val="00AA0168"/>
    <w:rsid w:val="00AA6D02"/>
    <w:rsid w:val="00AB47E4"/>
    <w:rsid w:val="00AC02FE"/>
    <w:rsid w:val="00AD1B09"/>
    <w:rsid w:val="00AF4DC0"/>
    <w:rsid w:val="00AF4E78"/>
    <w:rsid w:val="00AF547A"/>
    <w:rsid w:val="00B0626B"/>
    <w:rsid w:val="00B33C77"/>
    <w:rsid w:val="00B41ED0"/>
    <w:rsid w:val="00B450A8"/>
    <w:rsid w:val="00B60C0D"/>
    <w:rsid w:val="00BA5BB8"/>
    <w:rsid w:val="00BE3955"/>
    <w:rsid w:val="00BF2F3B"/>
    <w:rsid w:val="00BF6073"/>
    <w:rsid w:val="00C14D92"/>
    <w:rsid w:val="00C307DC"/>
    <w:rsid w:val="00C32A9F"/>
    <w:rsid w:val="00C438FF"/>
    <w:rsid w:val="00C47115"/>
    <w:rsid w:val="00C64CC3"/>
    <w:rsid w:val="00C85E0D"/>
    <w:rsid w:val="00CB4998"/>
    <w:rsid w:val="00CC1394"/>
    <w:rsid w:val="00CC3A62"/>
    <w:rsid w:val="00CE1036"/>
    <w:rsid w:val="00D04D0C"/>
    <w:rsid w:val="00D11784"/>
    <w:rsid w:val="00D4126D"/>
    <w:rsid w:val="00D518D3"/>
    <w:rsid w:val="00D5318A"/>
    <w:rsid w:val="00D56CE6"/>
    <w:rsid w:val="00D67D93"/>
    <w:rsid w:val="00D8091F"/>
    <w:rsid w:val="00D951C9"/>
    <w:rsid w:val="00DB0440"/>
    <w:rsid w:val="00DB48E6"/>
    <w:rsid w:val="00DC6831"/>
    <w:rsid w:val="00DD727D"/>
    <w:rsid w:val="00DE4DD0"/>
    <w:rsid w:val="00E11C6F"/>
    <w:rsid w:val="00E13558"/>
    <w:rsid w:val="00E93630"/>
    <w:rsid w:val="00EA19BC"/>
    <w:rsid w:val="00EB2D25"/>
    <w:rsid w:val="00EC5F43"/>
    <w:rsid w:val="00EF7A42"/>
    <w:rsid w:val="00F60C35"/>
    <w:rsid w:val="00F62587"/>
    <w:rsid w:val="00F67118"/>
    <w:rsid w:val="00FD5EF0"/>
    <w:rsid w:val="0D574E36"/>
    <w:rsid w:val="1067115B"/>
    <w:rsid w:val="13B90158"/>
    <w:rsid w:val="1DEA156A"/>
    <w:rsid w:val="1F02230E"/>
    <w:rsid w:val="230C16DF"/>
    <w:rsid w:val="27525900"/>
    <w:rsid w:val="2F682CB9"/>
    <w:rsid w:val="321C0291"/>
    <w:rsid w:val="330B7A9C"/>
    <w:rsid w:val="3A7F2082"/>
    <w:rsid w:val="3D724A1A"/>
    <w:rsid w:val="4B1F046E"/>
    <w:rsid w:val="4B5E3D54"/>
    <w:rsid w:val="55F057B4"/>
    <w:rsid w:val="599F5615"/>
    <w:rsid w:val="61EB29E8"/>
    <w:rsid w:val="61FE0159"/>
    <w:rsid w:val="682C6544"/>
    <w:rsid w:val="6B88194E"/>
    <w:rsid w:val="6BA70593"/>
    <w:rsid w:val="767E2023"/>
    <w:rsid w:val="767F7BB6"/>
    <w:rsid w:val="76857005"/>
    <w:rsid w:val="776D2A57"/>
    <w:rsid w:val="777DA990"/>
    <w:rsid w:val="7AC066C5"/>
    <w:rsid w:val="7D5D4724"/>
    <w:rsid w:val="7FDD91B9"/>
    <w:rsid w:val="7FFF287B"/>
    <w:rsid w:val="B6DD9928"/>
    <w:rsid w:val="FFBB3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86</Words>
  <Characters>495</Characters>
  <Lines>4</Lines>
  <Paragraphs>1</Paragraphs>
  <TotalTime>16</TotalTime>
  <ScaleCrop>false</ScaleCrop>
  <LinksUpToDate>false</LinksUpToDate>
  <CharactersWithSpaces>580</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2021-08-11T12:41:00Z</dcterms:created>
  <dc:creator>lenovo</dc:creator>
  <cp:lastModifiedBy>kylin</cp:lastModifiedBy>
  <cp:lastPrinted>2021-10-19T03:09:00Z</cp:lastPrinted>
  <dcterms:modified xsi:type="dcterms:W3CDTF">2022-08-25T16:47:16Z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